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Liberation Serif" w:hAnsi="Liberation Serif" w:cs="Liberation Serif"/>
          <w:color w:val="365f91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</w:r>
      <w:r>
        <w:rPr>
          <w:rFonts w:ascii="Liberation Serif" w:hAnsi="Liberation Serif" w:cs="Liberation Serif"/>
          <w:color w:val="365f91"/>
          <w:sz w:val="24"/>
          <w:szCs w:val="24"/>
          <w:highlight w:val="white"/>
        </w:rPr>
      </w:r>
    </w:p>
    <w:p>
      <w:pPr>
        <w:rPr>
          <w:rFonts w:ascii="Liberation Serif" w:hAnsi="Liberation Serif" w:cs="Liberation Serif"/>
          <w:color w:val="365f91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ab/>
      </w:r>
      <w:r>
        <w:rPr>
          <w:rFonts w:ascii="Liberation Serif" w:hAnsi="Liberation Serif" w:eastAsia="Liberation Serif" w:cs="Liberation Serif"/>
          <w:color w:val="365f91"/>
          <w:sz w:val="24"/>
          <w:szCs w:val="24"/>
          <w:highlight w:val="white"/>
        </w:rPr>
        <w:t xml:space="preserve"> </w:t>
      </w:r>
      <w:r>
        <w:rPr>
          <w:rFonts w:ascii="Liberation Serif" w:hAnsi="Liberation Serif" w:cs="Liberation Serif"/>
          <w:color w:val="365f91"/>
          <w:sz w:val="24"/>
          <w:szCs w:val="24"/>
          <w:highlight w:val="white"/>
        </w:rPr>
      </w:r>
    </w:p>
    <w:p>
      <w:pPr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УВЕДОМЛЕНИЕ</w:t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продлении срока подачи заявок на участие в закупке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внесении изменений в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текст Извещени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я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/Закупочной документации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center"/>
        <w:widowControl w:val="off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widowControl w:val="off"/>
        <w:rPr>
          <w:rFonts w:ascii="Liberation Serif" w:hAnsi="Liberation Serif" w:cs="Liberation Serif"/>
          <w:color w:val="0000f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      </w:t>
      </w:r>
      <w:r>
        <w:rPr>
          <w:rFonts w:ascii="Liberation Serif" w:hAnsi="Liberation Serif" w:cs="Liberation Serif"/>
          <w:color w:val="0000f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Лот 1: </w:t>
      </w:r>
      <w:r>
        <w:rPr>
          <w:rFonts w:ascii="Liberation Serif" w:hAnsi="Liberation Serif" w:eastAsia="Liberation Serif" w:cs="Liberation Serif"/>
          <w:color w:val="000000"/>
          <w:sz w:val="24"/>
          <w:szCs w:val="24"/>
          <w:highlight w:val="white"/>
        </w:rPr>
        <w:t xml:space="preserve">Аренда автотранспорта для нужд Уфимского филиала ООО «Интер РАО-Инжиниринг»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настоящим сообщает о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продлении срока подачи заявок на участие в закупке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.</w:t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p>
      <w:pPr>
        <w:pStyle w:val="844"/>
        <w:numPr>
          <w:ilvl w:val="0"/>
          <w:numId w:val="0"/>
        </w:numPr>
        <w:ind w:firstLine="709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Ч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итать в следующей редакции Извещение: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b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</w:r>
      <w:r>
        <w:rPr>
          <w:rFonts w:ascii="Liberation Serif" w:hAnsi="Liberation Serif" w:cs="Liberation Serif"/>
          <w:b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до 14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:00 (по московскому времени) «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28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» ноября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5</w:t>
      </w:r>
      <w:r>
        <w:rPr>
          <w:rFonts w:ascii="Liberation Serif" w:hAnsi="Liberation Serif" w:eastAsia="Liberation Serif" w:cs="Liberation Serif"/>
          <w:b/>
          <w:sz w:val="24"/>
          <w:szCs w:val="24"/>
          <w:highlight w:val="white"/>
        </w:rPr>
        <w:t xml:space="preserve"> года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через соответствующий функционал электронной торговой площадки, указанный в пункте 3 настоящего извещения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Организатор закупки проведет процедуру вскрытия конвертов: 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28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» ноября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5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года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Дата рассмотрения предложений участников закупки и подведения итогов закупки: 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до «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30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» января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202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6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 </w:t>
      </w:r>
      <w:bookmarkStart w:id="0" w:name="_GoBack"/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bookmarkEnd w:id="0"/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года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Исп.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Памшев Роман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p>
      <w:pPr>
        <w:jc w:val="both"/>
        <w:rPr>
          <w:rFonts w:ascii="Liberation Serif" w:hAnsi="Liberation Serif" w:cs="Liberation Serif"/>
          <w:sz w:val="24"/>
          <w:szCs w:val="24"/>
          <w:highlight w:val="white"/>
        </w:rPr>
        <w:outlineLvl w:val="0"/>
      </w:pP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(495) 664-88-40 доб. </w:t>
      </w:r>
      <w:r>
        <w:rPr>
          <w:rFonts w:ascii="Liberation Serif" w:hAnsi="Liberation Serif" w:eastAsia="Liberation Serif" w:cs="Liberation Serif"/>
          <w:sz w:val="24"/>
          <w:szCs w:val="24"/>
          <w:highlight w:val="white"/>
        </w:rPr>
        <w:t xml:space="preserve">6272</w:t>
      </w:r>
      <w:r>
        <w:rPr>
          <w:rFonts w:ascii="Liberation Serif" w:hAnsi="Liberation Serif" w:cs="Liberation Serif"/>
          <w:sz w:val="24"/>
          <w:szCs w:val="24"/>
          <w:highlight w:val="whit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567" w:bottom="567" w:left="1134" w:header="142" w:footer="2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</w:t>
    </w:r>
    <w:r>
      <w:rPr>
        <w:color w:val="365f91"/>
        <w:sz w:val="16"/>
        <w:szCs w:val="16"/>
      </w:rPr>
      <w:t xml:space="preserve">е</w:t>
    </w:r>
    <w:r>
      <w:rPr>
        <w:color w:val="365f91"/>
        <w:sz w:val="16"/>
        <w:szCs w:val="16"/>
      </w:rPr>
      <w:t xml:space="preserve">т</w:t>
    </w:r>
    <w:r>
      <w:rPr>
        <w:color w:val="365f91"/>
        <w:sz w:val="16"/>
        <w:szCs w:val="16"/>
      </w:rPr>
      <w:t xml:space="preserve">ственностью</w:t>
    </w:r>
    <w:r>
      <w:rPr>
        <w:color w:val="365f91"/>
        <w:sz w:val="16"/>
        <w:szCs w:val="16"/>
      </w:rPr>
      <w:t xml:space="preserve"> «И</w:t>
    </w:r>
    <w:r>
      <w:rPr>
        <w:color w:val="365f91"/>
        <w:sz w:val="16"/>
        <w:szCs w:val="16"/>
      </w:rPr>
      <w:t xml:space="preserve">нтер</w:t>
    </w:r>
    <w:r>
      <w:rPr>
        <w:color w:val="365f91"/>
        <w:sz w:val="16"/>
        <w:szCs w:val="16"/>
      </w:rPr>
      <w:t xml:space="preserve"> РАО </w:t>
    </w:r>
    <w:r>
      <w:rPr>
        <w:color w:val="365f91"/>
        <w:sz w:val="16"/>
        <w:szCs w:val="16"/>
      </w:rPr>
      <w:t xml:space="preserve">―</w:t>
    </w:r>
    <w:r>
      <w:rPr>
        <w:color w:val="365f91"/>
        <w:sz w:val="16"/>
        <w:szCs w:val="16"/>
      </w:rPr>
      <w:t xml:space="preserve"> Центр управления закупками»</w:t>
    </w:r>
    <w:r>
      <w:rPr>
        <w:sz w:val="28"/>
        <w:szCs w:val="28"/>
      </w:rPr>
    </w:r>
  </w:p>
  <w:p>
    <w:pPr>
      <w:pStyle w:val="8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Пироговская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837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44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9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33"/>
    <w:next w:val="83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3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33"/>
    <w:next w:val="83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3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33"/>
    <w:next w:val="83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3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33"/>
    <w:next w:val="83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33"/>
    <w:next w:val="8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33"/>
    <w:next w:val="8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33"/>
    <w:next w:val="8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33"/>
    <w:next w:val="8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33"/>
    <w:next w:val="8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33"/>
    <w:next w:val="83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34"/>
    <w:link w:val="34"/>
    <w:uiPriority w:val="10"/>
    <w:rPr>
      <w:sz w:val="48"/>
      <w:szCs w:val="48"/>
    </w:rPr>
  </w:style>
  <w:style w:type="paragraph" w:styleId="36">
    <w:name w:val="Subtitle"/>
    <w:basedOn w:val="833"/>
    <w:next w:val="83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34"/>
    <w:link w:val="36"/>
    <w:uiPriority w:val="11"/>
    <w:rPr>
      <w:sz w:val="24"/>
      <w:szCs w:val="24"/>
    </w:rPr>
  </w:style>
  <w:style w:type="paragraph" w:styleId="38">
    <w:name w:val="Quote"/>
    <w:basedOn w:val="833"/>
    <w:next w:val="8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33"/>
    <w:next w:val="8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34"/>
    <w:link w:val="837"/>
    <w:uiPriority w:val="99"/>
  </w:style>
  <w:style w:type="character" w:styleId="45">
    <w:name w:val="Footer Char"/>
    <w:basedOn w:val="834"/>
    <w:link w:val="842"/>
    <w:uiPriority w:val="99"/>
  </w:style>
  <w:style w:type="paragraph" w:styleId="46">
    <w:name w:val="Caption"/>
    <w:basedOn w:val="833"/>
    <w:next w:val="83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3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8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paragraph" w:styleId="178">
    <w:name w:val="endnote text"/>
    <w:basedOn w:val="8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34"/>
    <w:uiPriority w:val="99"/>
    <w:semiHidden/>
    <w:unhideWhenUsed/>
    <w:rPr>
      <w:vertAlign w:val="superscript"/>
    </w:rPr>
  </w:style>
  <w:style w:type="paragraph" w:styleId="181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184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Header"/>
    <w:basedOn w:val="833"/>
    <w:link w:val="838"/>
    <w:uiPriority w:val="99"/>
    <w:pPr>
      <w:tabs>
        <w:tab w:val="center" w:pos="4677" w:leader="none"/>
        <w:tab w:val="right" w:pos="9355" w:leader="none"/>
      </w:tabs>
    </w:pPr>
  </w:style>
  <w:style w:type="character" w:styleId="838" w:customStyle="1">
    <w:name w:val="Верхний колонтитул Знак"/>
    <w:basedOn w:val="834"/>
    <w:link w:val="8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>
    <w:name w:val="Balloon Text"/>
    <w:basedOn w:val="833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1">
    <w:name w:val="Hyperlink"/>
    <w:basedOn w:val="834"/>
    <w:uiPriority w:val="99"/>
    <w:unhideWhenUsed/>
    <w:rPr>
      <w:color w:val="0000ff" w:themeColor="hyperlink"/>
      <w:u w:val="single"/>
    </w:rPr>
  </w:style>
  <w:style w:type="paragraph" w:styleId="842">
    <w:name w:val="Footer"/>
    <w:basedOn w:val="833"/>
    <w:link w:val="84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3" w:customStyle="1">
    <w:name w:val="Нижний колонтитул Знак"/>
    <w:basedOn w:val="834"/>
    <w:link w:val="84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4">
    <w:name w:val="List Number"/>
    <w:basedOn w:val="833"/>
    <w:uiPriority w:val="99"/>
    <w:unhideWhenUsed/>
    <w:pPr>
      <w:numPr>
        <w:ilvl w:val="0"/>
        <w:numId w:val="2"/>
      </w:numPr>
      <w:contextualSpacing/>
    </w:pPr>
  </w:style>
  <w:style w:type="character" w:styleId="845">
    <w:name w:val="footnote reference"/>
    <w:basedOn w:val="834"/>
    <w:rPr>
      <w:vertAlign w:val="superscript"/>
    </w:rPr>
  </w:style>
  <w:style w:type="paragraph" w:styleId="846">
    <w:name w:val="List Paragraph"/>
    <w:basedOn w:val="833"/>
    <w:link w:val="852"/>
    <w:uiPriority w:val="34"/>
    <w:qFormat/>
    <w:pPr>
      <w:contextualSpacing/>
      <w:ind w:left="720"/>
    </w:pPr>
  </w:style>
  <w:style w:type="paragraph" w:styleId="847" w:customStyle="1">
    <w:name w:val="Style12"/>
    <w:basedOn w:val="833"/>
    <w:pPr>
      <w:ind w:firstLine="691"/>
      <w:jc w:val="both"/>
      <w:spacing w:line="317" w:lineRule="exact"/>
      <w:widowControl w:val="off"/>
    </w:pPr>
  </w:style>
  <w:style w:type="character" w:styleId="848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849">
    <w:name w:val="Table Grid"/>
    <w:basedOn w:val="83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0">
    <w:name w:val="toc 3"/>
    <w:basedOn w:val="833"/>
    <w:next w:val="833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851">
    <w:name w:val="FollowedHyperlink"/>
    <w:rPr>
      <w:color w:val="800080"/>
      <w:u w:val="single"/>
    </w:rPr>
  </w:style>
  <w:style w:type="character" w:styleId="852" w:customStyle="1">
    <w:name w:val="Абзац списка Знак"/>
    <w:link w:val="846"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3">
    <w:name w:val="page number"/>
    <w:rPr>
      <w:rFonts w:ascii="Times New Roman" w:hAnsi="Times New Roman"/>
      <w:sz w:val="20"/>
    </w:rPr>
  </w:style>
  <w:style w:type="character" w:styleId="854">
    <w:name w:val="annotation reference"/>
    <w:basedOn w:val="834"/>
    <w:uiPriority w:val="99"/>
    <w:semiHidden/>
    <w:unhideWhenUsed/>
    <w:rPr>
      <w:sz w:val="16"/>
      <w:szCs w:val="16"/>
    </w:rPr>
  </w:style>
  <w:style w:type="paragraph" w:styleId="855">
    <w:name w:val="annotation text"/>
    <w:basedOn w:val="833"/>
    <w:link w:val="856"/>
    <w:uiPriority w:val="99"/>
    <w:semiHidden/>
    <w:unhideWhenUsed/>
    <w:rPr>
      <w:sz w:val="20"/>
      <w:szCs w:val="20"/>
    </w:rPr>
  </w:style>
  <w:style w:type="character" w:styleId="856" w:customStyle="1">
    <w:name w:val="Текст примечания Знак"/>
    <w:basedOn w:val="834"/>
    <w:link w:val="85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57">
    <w:name w:val="annotation subject"/>
    <w:basedOn w:val="855"/>
    <w:next w:val="855"/>
    <w:link w:val="858"/>
    <w:uiPriority w:val="99"/>
    <w:semiHidden/>
    <w:unhideWhenUsed/>
    <w:rPr>
      <w:b/>
      <w:bCs/>
    </w:rPr>
  </w:style>
  <w:style w:type="character" w:styleId="858" w:customStyle="1">
    <w:name w:val="Тема примечания Знак"/>
    <w:basedOn w:val="856"/>
    <w:link w:val="85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pamshev_rl</cp:lastModifiedBy>
  <cp:revision>79</cp:revision>
  <dcterms:created xsi:type="dcterms:W3CDTF">2018-06-29T13:10:00Z</dcterms:created>
  <dcterms:modified xsi:type="dcterms:W3CDTF">2025-11-25T09:19:09Z</dcterms:modified>
</cp:coreProperties>
</file>