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tabs>
          <w:tab w:val="left" w:pos="567" w:leader="none"/>
        </w:tabs>
        <w:jc w:val="center"/>
        <w:rPr>
          <w:rFonts w:ascii="Arial" w:hAnsi="Arial" w:cs="Arial"/>
          <w:bCs/>
          <w:caps/>
          <w:sz w:val="20"/>
          <w:szCs w:val="20"/>
          <w:highlight w:val="white"/>
        </w:rPr>
      </w:pPr>
      <w:r>
        <w:rPr>
          <w:rFonts w:ascii="Arial" w:hAnsi="Arial" w:cs="Arial"/>
          <w:bCs/>
          <w:caps/>
          <w:sz w:val="20"/>
          <w:szCs w:val="20"/>
          <w:highlight w:val="white"/>
        </w:rPr>
        <w:t xml:space="preserve">ДОГОВОР № </w:t>
      </w:r>
      <w:r>
        <w:rPr>
          <w:rFonts w:ascii="Arial" w:hAnsi="Arial" w:cs="Arial"/>
          <w:bCs/>
          <w:caps/>
          <w:sz w:val="20"/>
          <w:szCs w:val="20"/>
          <w:highlight w:val="white"/>
        </w:rPr>
        <w:t xml:space="preserve">____________________</w:t>
      </w:r>
      <w:r>
        <w:rPr>
          <w:rFonts w:ascii="Arial" w:hAnsi="Arial" w:cs="Arial"/>
          <w:bCs/>
          <w:caps/>
          <w:sz w:val="20"/>
          <w:szCs w:val="20"/>
          <w:highlight w:val="white"/>
        </w:rPr>
      </w:r>
      <w:r>
        <w:rPr>
          <w:rFonts w:ascii="Arial" w:hAnsi="Arial" w:cs="Arial"/>
          <w:bCs/>
          <w:caps/>
          <w:sz w:val="20"/>
          <w:szCs w:val="20"/>
          <w:highlight w:val="white"/>
        </w:rPr>
      </w:r>
    </w:p>
    <w:p>
      <w:pPr>
        <w:tabs>
          <w:tab w:val="left" w:pos="567" w:leader="none"/>
          <w:tab w:val="left" w:pos="8505" w:leader="none"/>
        </w:tabs>
        <w:jc w:val="center"/>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p>
      <w:pPr>
        <w:tabs>
          <w:tab w:val="left" w:pos="567" w:leader="none"/>
          <w:tab w:val="left" w:pos="8505" w:leader="none"/>
        </w:tabs>
        <w:rPr>
          <w:rFonts w:ascii="Arial" w:hAnsi="Arial" w:cs="Arial"/>
          <w:sz w:val="20"/>
          <w:szCs w:val="20"/>
          <w:highlight w:val="white"/>
        </w:rPr>
      </w:pPr>
      <w:r>
        <w:rPr>
          <w:rFonts w:ascii="Arial" w:hAnsi="Arial" w:cs="Arial"/>
          <w:color w:val="000000" w:themeColor="text1"/>
          <w:sz w:val="20"/>
          <w:szCs w:val="20"/>
          <w:highlight w:val="white"/>
        </w:rPr>
        <w:t xml:space="preserve">        </w:t>
      </w:r>
      <w:r>
        <w:rPr>
          <w:rFonts w:ascii="Arial" w:hAnsi="Arial" w:cs="Arial"/>
          <w:color w:val="000000" w:themeColor="text1"/>
          <w:sz w:val="20"/>
          <w:szCs w:val="20"/>
          <w:highlight w:val="white"/>
        </w:rPr>
        <w:t xml:space="preserve">г. Москва</w:t>
      </w:r>
      <w:r>
        <w:rPr>
          <w:rFonts w:ascii="Arial" w:hAnsi="Arial" w:cs="Arial"/>
          <w:color w:val="000000" w:themeColor="text1"/>
          <w:sz w:val="20"/>
          <w:szCs w:val="20"/>
          <w:highlight w:val="white"/>
        </w:rPr>
        <w:tab/>
      </w:r>
      <w:r>
        <w:rPr>
          <w:rFonts w:ascii="Arial" w:hAnsi="Arial" w:cs="Arial"/>
          <w:sz w:val="20"/>
          <w:szCs w:val="20"/>
          <w:highlight w:val="white"/>
        </w:rPr>
      </w:r>
      <w:r>
        <w:rPr>
          <w:rFonts w:ascii="Arial" w:hAnsi="Arial" w:cs="Arial"/>
          <w:sz w:val="20"/>
          <w:szCs w:val="20"/>
          <w:highlight w:val="white"/>
        </w:rPr>
      </w:r>
    </w:p>
    <w:p>
      <w:pPr>
        <w:tabs>
          <w:tab w:val="left" w:pos="567" w:leader="none"/>
        </w:tabs>
        <w:jc w:val="both"/>
        <w:rPr>
          <w:rFonts w:ascii="Arial" w:hAnsi="Arial" w:cs="Arial"/>
          <w:bCs/>
          <w:iCs/>
          <w:color w:val="000000" w:themeColor="text1"/>
          <w:sz w:val="20"/>
          <w:szCs w:val="20"/>
          <w:highlight w:val="white"/>
        </w:rPr>
      </w:pPr>
      <w:r>
        <w:rPr>
          <w:rFonts w:ascii="Arial" w:hAnsi="Arial" w:cs="Arial"/>
          <w:color w:val="000000" w:themeColor="text1"/>
          <w:sz w:val="20"/>
          <w:szCs w:val="20"/>
          <w:highlight w:val="white"/>
        </w:rPr>
        <w:t xml:space="preserve">____________________________________________________________________________________________________________</w:t>
      </w:r>
      <w:r>
        <w:rPr>
          <w:rFonts w:ascii="Arial" w:hAnsi="Arial" w:cs="Arial"/>
          <w:color w:val="000000" w:themeColor="text1"/>
          <w:sz w:val="20"/>
          <w:szCs w:val="20"/>
          <w:highlight w:val="white"/>
        </w:rPr>
        <w:t xml:space="preserve">, именуемое в дальнейшем «Исполнитель», в лице </w:t>
      </w:r>
      <w:r>
        <w:rPr>
          <w:rFonts w:ascii="Arial" w:hAnsi="Arial" w:cs="Arial"/>
          <w:color w:val="000000" w:themeColor="text1"/>
          <w:sz w:val="20"/>
          <w:szCs w:val="20"/>
          <w:highlight w:val="white"/>
        </w:rPr>
        <w:t xml:space="preserve">_______________________________________.</w:t>
      </w:r>
      <w:r>
        <w:rPr>
          <w:rFonts w:ascii="Arial" w:hAnsi="Arial" w:cs="Arial"/>
          <w:color w:val="000000" w:themeColor="text1"/>
          <w:sz w:val="20"/>
          <w:szCs w:val="20"/>
          <w:highlight w:val="white"/>
        </w:rPr>
        <w:t xml:space="preserve">, действующего на основании </w:t>
      </w:r>
      <w:r>
        <w:rPr>
          <w:rFonts w:ascii="Arial" w:hAnsi="Arial" w:cs="Arial"/>
          <w:sz w:val="20"/>
          <w:szCs w:val="20"/>
          <w:highlight w:val="white"/>
        </w:rPr>
        <w:t xml:space="preserve">__________</w:t>
      </w:r>
      <w:r>
        <w:rPr>
          <w:rFonts w:ascii="Arial" w:hAnsi="Arial" w:cs="Arial"/>
          <w:color w:val="000000" w:themeColor="text1"/>
          <w:sz w:val="20"/>
          <w:szCs w:val="20"/>
          <w:highlight w:val="white"/>
        </w:rPr>
        <w:t xml:space="preserve">, с одной стороны, и ОО</w:t>
      </w:r>
      <w:r>
        <w:rPr>
          <w:rFonts w:ascii="Arial" w:hAnsi="Arial" w:cs="Arial"/>
          <w:color w:val="000000" w:themeColor="text1"/>
          <w:sz w:val="20"/>
          <w:szCs w:val="20"/>
          <w:highlight w:val="white"/>
        </w:rPr>
        <w:t xml:space="preserve">О "Интер РАО - Инжиниринг"</w:t>
      </w:r>
      <w:r>
        <w:rPr>
          <w:rFonts w:ascii="Arial" w:hAnsi="Arial" w:cs="Arial"/>
          <w:color w:val="000000" w:themeColor="text1"/>
          <w:sz w:val="20"/>
          <w:szCs w:val="20"/>
          <w:highlight w:val="white"/>
        </w:rPr>
        <w:t xml:space="preserve">, </w:t>
      </w:r>
      <w:r>
        <w:rPr>
          <w:rFonts w:ascii="Arial" w:hAnsi="Arial" w:cs="Arial"/>
          <w:color w:val="000000" w:themeColor="text1"/>
          <w:sz w:val="20"/>
          <w:szCs w:val="20"/>
          <w:highlight w:val="white"/>
        </w:rPr>
        <w:t xml:space="preserve">именуемое в дальнейшем «</w:t>
      </w:r>
      <w:r>
        <w:rPr>
          <w:rFonts w:ascii="Arial" w:hAnsi="Arial" w:cs="Arial"/>
          <w:bCs/>
          <w:color w:val="000000" w:themeColor="text1"/>
          <w:sz w:val="20"/>
          <w:szCs w:val="20"/>
          <w:highlight w:val="white"/>
        </w:rPr>
        <w:t xml:space="preserve">Заказчик</w:t>
      </w:r>
      <w:r>
        <w:rPr>
          <w:rFonts w:ascii="Arial" w:hAnsi="Arial" w:cs="Arial"/>
          <w:color w:val="000000" w:themeColor="text1"/>
          <w:sz w:val="20"/>
          <w:szCs w:val="20"/>
          <w:highlight w:val="white"/>
        </w:rPr>
        <w:t xml:space="preserve">», в лице </w:t>
      </w:r>
      <w:r>
        <w:rPr>
          <w:rFonts w:ascii="Arial" w:hAnsi="Arial" w:cs="Arial"/>
          <w:color w:val="000000" w:themeColor="text1"/>
          <w:sz w:val="20"/>
          <w:szCs w:val="20"/>
          <w:highlight w:val="white"/>
        </w:rPr>
        <w:t xml:space="preserve">____________________</w:t>
      </w:r>
      <w:r>
        <w:rPr>
          <w:rFonts w:ascii="Arial" w:hAnsi="Arial" w:cs="Arial"/>
          <w:color w:val="000000" w:themeColor="text1"/>
          <w:sz w:val="20"/>
          <w:szCs w:val="20"/>
          <w:highlight w:val="white"/>
        </w:rPr>
        <w:t xml:space="preserve"> </w:t>
      </w:r>
      <w:r>
        <w:rPr>
          <w:rFonts w:ascii="Arial" w:hAnsi="Arial" w:cs="Arial"/>
          <w:sz w:val="20"/>
          <w:szCs w:val="20"/>
          <w:highlight w:val="white"/>
        </w:rPr>
        <w:t xml:space="preserve">____________________</w:t>
      </w:r>
      <w:r>
        <w:rPr>
          <w:rFonts w:ascii="Arial" w:hAnsi="Arial" w:cs="Arial"/>
          <w:sz w:val="20"/>
          <w:szCs w:val="20"/>
          <w:highlight w:val="white"/>
        </w:rPr>
        <w:t xml:space="preserve">,</w:t>
      </w:r>
      <w:r>
        <w:rPr>
          <w:rFonts w:ascii="Arial" w:hAnsi="Arial" w:cs="Arial"/>
          <w:color w:val="000000" w:themeColor="text1"/>
          <w:sz w:val="20"/>
          <w:szCs w:val="20"/>
          <w:highlight w:val="white"/>
        </w:rPr>
        <w:t xml:space="preserve"> </w:t>
      </w:r>
      <w:r>
        <w:rPr>
          <w:rFonts w:ascii="Arial" w:hAnsi="Arial" w:cs="Arial"/>
          <w:color w:val="000000" w:themeColor="text1"/>
          <w:sz w:val="20"/>
          <w:szCs w:val="20"/>
          <w:highlight w:val="white"/>
        </w:rPr>
        <w:t xml:space="preserve">действующего (-ей) на основании </w:t>
      </w:r>
      <w:r>
        <w:rPr>
          <w:rFonts w:ascii="Arial" w:hAnsi="Arial" w:cs="Arial"/>
          <w:color w:val="000000" w:themeColor="text1"/>
          <w:sz w:val="20"/>
          <w:szCs w:val="20"/>
          <w:highlight w:val="white"/>
        </w:rPr>
        <w:t xml:space="preserve">____________________</w:t>
      </w:r>
      <w:r>
        <w:rPr>
          <w:rFonts w:ascii="Arial" w:hAnsi="Arial" w:cs="Arial"/>
          <w:color w:val="000000" w:themeColor="text1"/>
          <w:sz w:val="20"/>
          <w:szCs w:val="20"/>
          <w:highlight w:val="white"/>
        </w:rPr>
        <w:t xml:space="preserve">, </w:t>
      </w:r>
      <w:r>
        <w:rPr>
          <w:rFonts w:ascii="Arial" w:hAnsi="Arial" w:cs="Arial"/>
          <w:color w:val="000000" w:themeColor="text1"/>
          <w:sz w:val="20"/>
          <w:szCs w:val="20"/>
          <w:highlight w:val="white"/>
        </w:rPr>
        <w:t xml:space="preserve">с другой стороны,</w:t>
      </w:r>
      <w:r>
        <w:rPr>
          <w:rFonts w:ascii="Arial" w:hAnsi="Arial" w:cs="Arial"/>
          <w:color w:val="000000" w:themeColor="text1"/>
          <w:sz w:val="20"/>
          <w:szCs w:val="20"/>
          <w:highlight w:val="white"/>
        </w:rPr>
        <w:t xml:space="preserve"> заключили настоящий Договор о нижеследующем:</w:t>
      </w:r>
      <w:r>
        <w:rPr>
          <w:rFonts w:ascii="Arial" w:hAnsi="Arial" w:cs="Arial"/>
          <w:bCs/>
          <w:iCs/>
          <w:color w:val="000000" w:themeColor="text1"/>
          <w:sz w:val="20"/>
          <w:szCs w:val="20"/>
          <w:highlight w:val="white"/>
        </w:rPr>
      </w:r>
      <w:r>
        <w:rPr>
          <w:rFonts w:ascii="Arial" w:hAnsi="Arial" w:cs="Arial"/>
          <w:bCs/>
          <w:iCs/>
          <w:color w:val="000000" w:themeColor="text1"/>
          <w:sz w:val="20"/>
          <w:szCs w:val="20"/>
          <w:highlight w:val="white"/>
        </w:rPr>
      </w:r>
    </w:p>
    <w:p>
      <w:pPr>
        <w:tabs>
          <w:tab w:val="left" w:pos="567" w:leader="none"/>
        </w:tabs>
        <w:jc w:val="both"/>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p>
      <w:pPr>
        <w:tabs>
          <w:tab w:val="left" w:pos="567" w:leader="none"/>
        </w:tabs>
        <w:jc w:val="center"/>
        <w:rPr>
          <w:rFonts w:ascii="Arial" w:hAnsi="Arial" w:cs="Arial"/>
          <w:bCs/>
          <w:sz w:val="20"/>
          <w:szCs w:val="20"/>
          <w:highlight w:val="white"/>
        </w:rPr>
      </w:pPr>
      <w:r>
        <w:rPr>
          <w:rFonts w:ascii="Arial" w:hAnsi="Arial" w:cs="Arial"/>
          <w:bCs/>
          <w:sz w:val="20"/>
          <w:szCs w:val="20"/>
          <w:highlight w:val="white"/>
        </w:rPr>
        <w:t xml:space="preserve">1. ОСНОВНЫЕ ПОНЯТИЯ</w:t>
      </w:r>
      <w:r>
        <w:rPr>
          <w:rFonts w:ascii="Arial" w:hAnsi="Arial" w:cs="Arial"/>
          <w:bCs/>
          <w:sz w:val="20"/>
          <w:szCs w:val="20"/>
          <w:highlight w:val="white"/>
        </w:rPr>
      </w:r>
      <w:r>
        <w:rPr>
          <w:rFonts w:ascii="Arial" w:hAnsi="Arial" w:cs="Arial"/>
          <w:bCs/>
          <w:sz w:val="20"/>
          <w:szCs w:val="20"/>
          <w:highlight w:val="white"/>
        </w:rPr>
      </w:r>
    </w:p>
    <w:p>
      <w:pPr>
        <w:pStyle w:val="920"/>
        <w:numPr>
          <w:numId w:val="3"/>
          <w:ilvl w:val="1"/>
        </w:numPr>
        <w:jc w:val="both"/>
        <w:rPr>
          <w:sz w:val="20"/>
          <w:szCs w:val="20"/>
          <w:highlight w:val="white"/>
        </w:rPr>
      </w:pPr>
      <w:r>
        <w:rPr>
          <w:sz w:val="20"/>
          <w:szCs w:val="20"/>
          <w:highlight w:val="white"/>
        </w:rPr>
        <w:t xml:space="preserve">Справочная Правовая Система КонсультантПлюс (далее - Система КонсультантПлюс или Система) - совокупность многофункциональной программы для ЭВМ и набора текстовой информации (программное средство, информационный продукт вычислительной техники).</w:t>
      </w:r>
      <w:r>
        <w:rPr>
          <w:sz w:val="20"/>
          <w:szCs w:val="20"/>
          <w:highlight w:val="white"/>
        </w:rPr>
      </w:r>
      <w:r>
        <w:rPr>
          <w:sz w:val="20"/>
          <w:szCs w:val="20"/>
          <w:highlight w:val="white"/>
        </w:rPr>
      </w:r>
    </w:p>
    <w:p>
      <w:pPr>
        <w:pStyle w:val="920"/>
        <w:numPr>
          <w:numId w:val="3"/>
          <w:ilvl w:val="1"/>
        </w:numPr>
        <w:jc w:val="both"/>
        <w:rPr>
          <w:sz w:val="20"/>
          <w:szCs w:val="20"/>
          <w:highlight w:val="white"/>
        </w:rPr>
      </w:pPr>
      <w:r>
        <w:rPr>
          <w:sz w:val="20"/>
          <w:szCs w:val="20"/>
          <w:highlight w:val="white"/>
        </w:rPr>
        <w:t xml:space="preserve">Экземпляр Системы - копия Системы КонсультантПлюс на материальном носителе, позволяющая Заказчику получать необходимую информацию. Экземпляр Системы не позволяет изменять и пе</w:t>
      </w:r>
      <w:r>
        <w:rPr>
          <w:sz w:val="20"/>
          <w:szCs w:val="20"/>
          <w:highlight w:val="white"/>
        </w:rPr>
        <w:t xml:space="preserve">редавать полученную информацию.</w:t>
      </w:r>
      <w:r>
        <w:rPr>
          <w:sz w:val="20"/>
          <w:szCs w:val="20"/>
          <w:highlight w:val="white"/>
        </w:rPr>
      </w:r>
      <w:r>
        <w:rPr>
          <w:sz w:val="20"/>
          <w:szCs w:val="20"/>
          <w:highlight w:val="white"/>
        </w:rPr>
      </w:r>
    </w:p>
    <w:p>
      <w:pPr>
        <w:pStyle w:val="920"/>
        <w:numPr>
          <w:numId w:val="3"/>
          <w:ilvl w:val="1"/>
        </w:numPr>
        <w:tabs>
          <w:tab w:val="num" w:pos="0" w:leader="none"/>
          <w:tab w:val="left" w:pos="360" w:leader="none"/>
        </w:tabs>
        <w:jc w:val="both"/>
        <w:rPr>
          <w:sz w:val="20"/>
          <w:szCs w:val="20"/>
          <w:highlight w:val="white"/>
        </w:rPr>
      </w:pPr>
      <w:r>
        <w:rPr>
          <w:sz w:val="20"/>
          <w:szCs w:val="20"/>
          <w:highlight w:val="white"/>
        </w:rPr>
        <w:t xml:space="preserve">Порядок использования Систем - совокупность технических параметров, разрешенных способов и условий использования комплекта Систем.</w:t>
      </w:r>
      <w:r>
        <w:rPr>
          <w:sz w:val="20"/>
          <w:szCs w:val="20"/>
          <w:highlight w:val="white"/>
        </w:rPr>
      </w:r>
      <w:r>
        <w:rPr>
          <w:sz w:val="20"/>
          <w:szCs w:val="20"/>
          <w:highlight w:val="white"/>
        </w:rPr>
      </w:r>
    </w:p>
    <w:p>
      <w:pPr>
        <w:pStyle w:val="920"/>
        <w:numPr>
          <w:numId w:val="3"/>
          <w:ilvl w:val="1"/>
        </w:numPr>
        <w:jc w:val="both"/>
        <w:rPr>
          <w:sz w:val="20"/>
          <w:szCs w:val="20"/>
          <w:highlight w:val="white"/>
        </w:rPr>
      </w:pPr>
      <w:r>
        <w:rPr>
          <w:sz w:val="20"/>
          <w:szCs w:val="20"/>
          <w:highlight w:val="white"/>
        </w:rPr>
        <w:t xml:space="preserve">Уникальный пользователь - физическое лицо, состоящее в трудовых отношениях с Заказчиком (работник), являющееся пользователем Системы.</w:t>
      </w:r>
      <w:r>
        <w:rPr>
          <w:sz w:val="20"/>
          <w:szCs w:val="20"/>
          <w:highlight w:val="white"/>
        </w:rPr>
      </w:r>
      <w:r>
        <w:rPr>
          <w:sz w:val="20"/>
          <w:szCs w:val="20"/>
          <w:highlight w:val="white"/>
        </w:rPr>
      </w:r>
    </w:p>
    <w:p>
      <w:pPr>
        <w:pStyle w:val="920"/>
        <w:numPr>
          <w:numId w:val="3"/>
          <w:ilvl w:val="1"/>
        </w:numPr>
        <w:tabs>
          <w:tab w:val="num" w:pos="0" w:leader="none"/>
          <w:tab w:val="left" w:pos="360" w:leader="none"/>
        </w:tabs>
        <w:jc w:val="both"/>
        <w:rPr>
          <w:sz w:val="20"/>
          <w:szCs w:val="20"/>
          <w:highlight w:val="white"/>
        </w:rPr>
      </w:pPr>
      <w:r>
        <w:rPr>
          <w:sz w:val="20"/>
          <w:szCs w:val="20"/>
          <w:highlight w:val="white"/>
        </w:rPr>
        <w:t xml:space="preserve">Регистрация - процедура, при которой запоминаются параметры конкретного электронного устройства и в экземпляр Системы вносятся определенные изменения</w:t>
      </w:r>
      <w:r>
        <w:rPr>
          <w:sz w:val="20"/>
          <w:szCs w:val="20"/>
          <w:highlight w:val="white"/>
        </w:rPr>
        <w:t xml:space="preserve"> (адаптация Системы), после чего становится возможным использование экземпляра Системы. По выбору Заказчика экземпляр Системы может быть зарегистрирован на ЭВМ Заказчика, на ЭВМ Исполнителя, на ЭВМ Разработчика Систем. Особенности регистрации определяются </w:t>
      </w:r>
      <w:r>
        <w:rPr>
          <w:sz w:val="20"/>
          <w:szCs w:val="20"/>
          <w:highlight w:val="white"/>
        </w:rPr>
        <w:t xml:space="preserve">Спецификациями к Договору, а также отдельными соглашениями Сторон</w:t>
      </w:r>
      <w:r>
        <w:rPr>
          <w:sz w:val="20"/>
          <w:szCs w:val="20"/>
          <w:highlight w:val="white"/>
        </w:rPr>
        <w:t xml:space="preserve">.</w:t>
      </w:r>
      <w:r>
        <w:rPr>
          <w:sz w:val="20"/>
          <w:szCs w:val="20"/>
          <w:highlight w:val="white"/>
        </w:rPr>
      </w:r>
      <w:r>
        <w:rPr>
          <w:sz w:val="20"/>
          <w:szCs w:val="20"/>
          <w:highlight w:val="white"/>
        </w:rPr>
      </w:r>
    </w:p>
    <w:p>
      <w:pPr>
        <w:pStyle w:val="920"/>
        <w:numPr>
          <w:numId w:val="3"/>
          <w:ilvl w:val="1"/>
        </w:numPr>
        <w:jc w:val="both"/>
        <w:rPr>
          <w:sz w:val="20"/>
          <w:szCs w:val="20"/>
          <w:highlight w:val="white"/>
        </w:rPr>
      </w:pPr>
      <w:r>
        <w:rPr>
          <w:sz w:val="20"/>
          <w:szCs w:val="20"/>
          <w:highlight w:val="white"/>
        </w:rPr>
      </w:r>
      <w:bookmarkStart w:id="0" w:name="Par448"/>
      <w:r>
        <w:rPr>
          <w:sz w:val="20"/>
          <w:szCs w:val="20"/>
          <w:highlight w:val="white"/>
        </w:rPr>
      </w:r>
      <w:bookmarkStart w:id="1" w:name="Par2113"/>
      <w:r>
        <w:rPr>
          <w:sz w:val="20"/>
          <w:szCs w:val="20"/>
          <w:highlight w:val="white"/>
        </w:rPr>
      </w:r>
      <w:bookmarkStart w:id="2" w:name="Par449"/>
      <w:r>
        <w:rPr>
          <w:sz w:val="20"/>
          <w:szCs w:val="20"/>
          <w:highlight w:val="white"/>
        </w:rPr>
      </w:r>
      <w:bookmarkStart w:id="3" w:name="Par2114"/>
      <w:r>
        <w:rPr>
          <w:sz w:val="20"/>
          <w:szCs w:val="20"/>
          <w:highlight w:val="white"/>
        </w:rPr>
      </w:r>
      <w:bookmarkEnd w:id="0"/>
      <w:r>
        <w:rPr>
          <w:sz w:val="20"/>
          <w:szCs w:val="20"/>
          <w:highlight w:val="white"/>
        </w:rPr>
      </w:r>
      <w:bookmarkEnd w:id="1"/>
      <w:r>
        <w:rPr>
          <w:sz w:val="20"/>
          <w:szCs w:val="20"/>
          <w:highlight w:val="white"/>
        </w:rPr>
      </w:r>
      <w:bookmarkEnd w:id="2"/>
      <w:r>
        <w:rPr>
          <w:sz w:val="20"/>
          <w:szCs w:val="20"/>
          <w:highlight w:val="white"/>
        </w:rPr>
      </w:r>
      <w:bookmarkEnd w:id="3"/>
      <w:r>
        <w:rPr>
          <w:sz w:val="20"/>
          <w:szCs w:val="20"/>
          <w:highlight w:val="white"/>
        </w:rPr>
        <w:t xml:space="preserve">КЦ КонсультантПлюс - организация, на основании договора с которой Дистрибьютор осуществляет поставку и оказание услуг по адаптации и сопровождению экземпляров Систем.</w:t>
      </w:r>
      <w:r>
        <w:rPr>
          <w:sz w:val="20"/>
          <w:szCs w:val="20"/>
          <w:highlight w:val="white"/>
        </w:rPr>
      </w:r>
      <w:r>
        <w:rPr>
          <w:sz w:val="20"/>
          <w:szCs w:val="20"/>
          <w:highlight w:val="white"/>
        </w:rPr>
      </w:r>
    </w:p>
    <w:p>
      <w:pPr>
        <w:pStyle w:val="920"/>
        <w:numPr>
          <w:numId w:val="3"/>
          <w:ilvl w:val="1"/>
        </w:numPr>
        <w:jc w:val="both"/>
        <w:rPr>
          <w:sz w:val="20"/>
          <w:szCs w:val="20"/>
          <w:highlight w:val="white"/>
        </w:rPr>
      </w:pPr>
      <w:r>
        <w:rPr>
          <w:sz w:val="20"/>
          <w:szCs w:val="20"/>
          <w:highlight w:val="white"/>
        </w:rPr>
      </w:r>
      <w:bookmarkStart w:id="4" w:name="Par450"/>
      <w:r>
        <w:rPr>
          <w:sz w:val="20"/>
          <w:szCs w:val="20"/>
          <w:highlight w:val="white"/>
        </w:rPr>
      </w:r>
      <w:bookmarkStart w:id="5" w:name="Par2115"/>
      <w:r>
        <w:rPr>
          <w:sz w:val="20"/>
          <w:szCs w:val="20"/>
          <w:highlight w:val="white"/>
        </w:rPr>
      </w:r>
      <w:bookmarkEnd w:id="4"/>
      <w:r>
        <w:rPr>
          <w:sz w:val="20"/>
          <w:szCs w:val="20"/>
          <w:highlight w:val="white"/>
        </w:rPr>
      </w:r>
      <w:bookmarkEnd w:id="5"/>
      <w:r>
        <w:rPr>
          <w:sz w:val="20"/>
          <w:szCs w:val="20"/>
          <w:highlight w:val="white"/>
        </w:rPr>
        <w:t xml:space="preserve">Правомерный приобретатель экземпляра Системы (Заказчик) - физическое/юридическое лицо, приобретшее экземпляр Системы у офи</w:t>
      </w:r>
      <w:r>
        <w:rPr>
          <w:sz w:val="20"/>
          <w:szCs w:val="20"/>
          <w:highlight w:val="white"/>
        </w:rPr>
        <w:t xml:space="preserve">циального Представителя Сети КонсультантПлюс или получившее на законных основаниях от физического/юридического лица экземпляр Системы, ранее приобретенный у официального Представителя Сети КонсультантПлюс (от правомерного приобретателя экземпляра Системы).</w:t>
      </w:r>
      <w:r>
        <w:rPr>
          <w:sz w:val="20"/>
          <w:szCs w:val="20"/>
          <w:highlight w:val="white"/>
        </w:rPr>
      </w:r>
      <w:r>
        <w:rPr>
          <w:sz w:val="20"/>
          <w:szCs w:val="20"/>
          <w:highlight w:val="white"/>
        </w:rPr>
      </w:r>
    </w:p>
    <w:p>
      <w:pPr>
        <w:pStyle w:val="920"/>
        <w:numPr>
          <w:numId w:val="3"/>
          <w:ilvl w:val="1"/>
        </w:numPr>
        <w:jc w:val="both"/>
        <w:rPr>
          <w:sz w:val="20"/>
          <w:szCs w:val="20"/>
          <w:highlight w:val="white"/>
        </w:rPr>
      </w:pPr>
      <w:r>
        <w:rPr>
          <w:iCs/>
          <w:sz w:val="20"/>
          <w:szCs w:val="20"/>
          <w:highlight w:val="white"/>
        </w:rPr>
        <w:t xml:space="preserve">Разработчик (правообладатель) Систем КонсультантПлюс – ЗАО «Консультант Плюс»</w:t>
      </w:r>
      <w:r>
        <w:rPr>
          <w:iCs/>
          <w:sz w:val="20"/>
          <w:szCs w:val="20"/>
          <w:highlight w:val="white"/>
        </w:rPr>
        <w:t xml:space="preserve">.</w:t>
      </w:r>
      <w:r>
        <w:rPr>
          <w:sz w:val="20"/>
          <w:szCs w:val="20"/>
          <w:highlight w:val="white"/>
        </w:rPr>
      </w:r>
      <w:r>
        <w:rPr>
          <w:sz w:val="20"/>
          <w:szCs w:val="20"/>
          <w:highlight w:val="white"/>
        </w:rPr>
      </w:r>
    </w:p>
    <w:p>
      <w:pPr>
        <w:tabs>
          <w:tab w:val="left" w:pos="426" w:leader="none"/>
          <w:tab w:val="left" w:pos="567" w:leader="none"/>
        </w:tabs>
        <w:jc w:val="center"/>
        <w:rPr>
          <w:rFonts w:ascii="Arial" w:hAnsi="Arial" w:cs="Arial"/>
          <w:bCs/>
          <w:sz w:val="20"/>
          <w:szCs w:val="20"/>
          <w:highlight w:val="white"/>
        </w:rPr>
      </w:pPr>
      <w:r>
        <w:rPr>
          <w:rFonts w:ascii="Arial" w:hAnsi="Arial" w:cs="Arial"/>
          <w:bCs/>
          <w:sz w:val="20"/>
          <w:szCs w:val="20"/>
          <w:highlight w:val="white"/>
        </w:rPr>
      </w:r>
      <w:r>
        <w:rPr>
          <w:rFonts w:ascii="Arial" w:hAnsi="Arial" w:cs="Arial"/>
          <w:bCs/>
          <w:sz w:val="20"/>
          <w:szCs w:val="20"/>
          <w:highlight w:val="white"/>
        </w:rPr>
      </w:r>
      <w:r>
        <w:rPr>
          <w:rFonts w:ascii="Arial" w:hAnsi="Arial" w:cs="Arial"/>
          <w:bCs/>
          <w:sz w:val="20"/>
          <w:szCs w:val="20"/>
          <w:highlight w:val="white"/>
        </w:rPr>
      </w:r>
    </w:p>
    <w:p>
      <w:pPr>
        <w:numPr>
          <w:numId w:val="3"/>
          <w:ilvl w:val="0"/>
        </w:numPr>
        <w:tabs>
          <w:tab w:val="left" w:pos="567" w:leader="none"/>
        </w:tabs>
        <w:jc w:val="center"/>
        <w:rPr>
          <w:rFonts w:ascii="Arial" w:hAnsi="Arial" w:cs="Arial"/>
          <w:bCs/>
          <w:sz w:val="20"/>
          <w:szCs w:val="20"/>
          <w:highlight w:val="white"/>
        </w:rPr>
      </w:pPr>
      <w:r>
        <w:rPr>
          <w:rFonts w:ascii="Arial" w:hAnsi="Arial" w:cs="Arial"/>
          <w:bCs/>
          <w:sz w:val="20"/>
          <w:szCs w:val="20"/>
          <w:highlight w:val="white"/>
        </w:rPr>
        <w:t xml:space="preserve">ПРЕДМЕТ ДОГОВОРА</w:t>
      </w:r>
      <w:r>
        <w:rPr>
          <w:rFonts w:ascii="Arial" w:hAnsi="Arial" w:cs="Arial"/>
          <w:bCs/>
          <w:sz w:val="20"/>
          <w:szCs w:val="20"/>
          <w:highlight w:val="white"/>
        </w:rPr>
      </w:r>
      <w:r>
        <w:rPr>
          <w:rFonts w:ascii="Arial" w:hAnsi="Arial" w:cs="Arial"/>
          <w:bCs/>
          <w:sz w:val="20"/>
          <w:szCs w:val="20"/>
          <w:highlight w:val="white"/>
        </w:rPr>
      </w:r>
    </w:p>
    <w:p>
      <w:pPr>
        <w:numPr>
          <w:numId w:val="3"/>
          <w:ilvl w:val="1"/>
        </w:numPr>
        <w:tabs>
          <w:tab w:val="left" w:pos="567" w:leader="none"/>
        </w:tabs>
        <w:rPr>
          <w:rFonts w:ascii="Arial" w:hAnsi="Arial" w:cs="Arial"/>
          <w:bCs/>
          <w:sz w:val="20"/>
          <w:szCs w:val="20"/>
          <w:highlight w:val="white"/>
        </w:rPr>
      </w:pPr>
      <w:r>
        <w:rPr>
          <w:rFonts w:ascii="Arial" w:hAnsi="Arial" w:cs="Arial"/>
          <w:bCs/>
          <w:sz w:val="20"/>
          <w:szCs w:val="20"/>
          <w:highlight w:val="white"/>
        </w:rPr>
        <w:t xml:space="preserve"> По настоящему Договору Стороны принимают на себя исполнение следующих обязательств:</w:t>
      </w:r>
      <w:r>
        <w:rPr>
          <w:rFonts w:ascii="Arial" w:hAnsi="Arial" w:cs="Arial"/>
          <w:bCs/>
          <w:sz w:val="20"/>
          <w:szCs w:val="20"/>
          <w:highlight w:val="white"/>
        </w:rPr>
      </w:r>
      <w:r>
        <w:rPr>
          <w:rFonts w:ascii="Arial" w:hAnsi="Arial" w:cs="Arial"/>
          <w:bCs/>
          <w:sz w:val="20"/>
          <w:szCs w:val="20"/>
          <w:highlight w:val="white"/>
        </w:rPr>
      </w:r>
    </w:p>
    <w:p>
      <w:pPr>
        <w:numPr>
          <w:numId w:val="3"/>
          <w:ilvl w:val="2"/>
        </w:numPr>
        <w:tabs>
          <w:tab w:val="left" w:pos="567" w:leader="none"/>
        </w:tabs>
        <w:jc w:val="both"/>
        <w:rPr>
          <w:rFonts w:ascii="Arial" w:hAnsi="Arial" w:cs="Arial"/>
          <w:sz w:val="20"/>
          <w:szCs w:val="20"/>
          <w:highlight w:val="white"/>
        </w:rPr>
      </w:pPr>
      <w:r>
        <w:rPr>
          <w:rFonts w:ascii="Arial" w:hAnsi="Arial" w:cs="Arial"/>
          <w:sz w:val="20"/>
          <w:szCs w:val="20"/>
          <w:highlight w:val="white"/>
        </w:rPr>
        <w:t xml:space="preserve">Исполнитель обязуется оказывать Заказчику платные услуги по адаптации и сопровождению экземпляров Систем, иного программного обеспечения, далее по тексту - </w:t>
      </w:r>
      <w:r>
        <w:rPr>
          <w:rFonts w:ascii="Arial" w:hAnsi="Arial" w:cs="Arial"/>
          <w:sz w:val="20"/>
          <w:szCs w:val="20"/>
          <w:highlight w:val="white"/>
        </w:rPr>
        <w:t xml:space="preserve">Услуги</w:t>
      </w:r>
      <w:r>
        <w:rPr>
          <w:rFonts w:ascii="Arial" w:hAnsi="Arial" w:cs="Arial"/>
          <w:sz w:val="20"/>
          <w:szCs w:val="20"/>
          <w:highlight w:val="white"/>
        </w:rPr>
        <w:t xml:space="preserve">, в течение срока действия настоящего Договора в порядке</w:t>
      </w:r>
      <w:r>
        <w:rPr>
          <w:rFonts w:ascii="Arial" w:hAnsi="Arial" w:cs="Arial"/>
          <w:sz w:val="20"/>
          <w:szCs w:val="20"/>
          <w:highlight w:val="white"/>
        </w:rPr>
        <w:t xml:space="preserve"> раздела 3</w:t>
      </w:r>
      <w:r>
        <w:rPr>
          <w:rFonts w:ascii="Arial" w:hAnsi="Arial" w:cs="Arial"/>
          <w:sz w:val="20"/>
          <w:szCs w:val="20"/>
          <w:highlight w:val="white"/>
        </w:rPr>
        <w:t xml:space="preserve"> настоящего Договора</w:t>
      </w:r>
      <w:r>
        <w:rPr>
          <w:rFonts w:ascii="Arial" w:hAnsi="Arial" w:cs="Arial"/>
          <w:bCs/>
          <w:sz w:val="20"/>
          <w:szCs w:val="20"/>
          <w:highlight w:val="white"/>
        </w:rPr>
        <w:t xml:space="preserve">, а Заказчик обязуется оплатить оказанные услуги. Порядок </w:t>
      </w:r>
      <w:r>
        <w:rPr>
          <w:rFonts w:ascii="Arial" w:hAnsi="Arial" w:cs="Arial"/>
          <w:bCs/>
          <w:sz w:val="20"/>
          <w:szCs w:val="20"/>
          <w:highlight w:val="white"/>
        </w:rPr>
        <w:t xml:space="preserve">использования</w:t>
      </w:r>
      <w:r>
        <w:rPr>
          <w:rFonts w:ascii="Arial" w:hAnsi="Arial" w:cs="Arial"/>
          <w:bCs/>
          <w:sz w:val="20"/>
          <w:szCs w:val="20"/>
          <w:highlight w:val="white"/>
        </w:rPr>
        <w:t xml:space="preserve"> экземпляров Систем определяется </w:t>
      </w:r>
      <w:r>
        <w:rPr>
          <w:rFonts w:ascii="Arial" w:hAnsi="Arial" w:cs="Arial"/>
          <w:bCs/>
          <w:sz w:val="20"/>
          <w:szCs w:val="20"/>
          <w:highlight w:val="white"/>
        </w:rPr>
        <w:t xml:space="preserve">Спецификациями к настоящему Договору</w:t>
      </w:r>
      <w:r>
        <w:rPr>
          <w:rFonts w:ascii="Arial" w:hAnsi="Arial" w:cs="Arial"/>
          <w:sz w:val="20"/>
          <w:szCs w:val="20"/>
          <w:highlight w:val="white"/>
        </w:rPr>
        <w:t xml:space="preserve">.</w:t>
      </w:r>
      <w:r>
        <w:rPr>
          <w:rFonts w:ascii="Arial" w:hAnsi="Arial" w:cs="Arial"/>
          <w:bCs/>
          <w:i/>
          <w:color w:val="ff0000"/>
          <w:sz w:val="20"/>
          <w:szCs w:val="20"/>
          <w:highlight w:val="white"/>
        </w:rPr>
        <w:t xml:space="preserve"> </w:t>
      </w:r>
      <w:r>
        <w:rPr>
          <w:rFonts w:ascii="Arial" w:hAnsi="Arial" w:cs="Arial"/>
          <w:sz w:val="20"/>
          <w:szCs w:val="20"/>
          <w:highlight w:val="white"/>
        </w:rPr>
      </w:r>
      <w:r>
        <w:rPr>
          <w:rFonts w:ascii="Arial" w:hAnsi="Arial" w:cs="Arial"/>
          <w:sz w:val="20"/>
          <w:szCs w:val="20"/>
          <w:highlight w:val="white"/>
        </w:rPr>
      </w:r>
    </w:p>
    <w:p>
      <w:pPr>
        <w:tabs>
          <w:tab w:val="left" w:pos="567" w:leader="none"/>
        </w:tabs>
        <w:jc w:val="both"/>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p>
      <w:pPr>
        <w:numPr>
          <w:numId w:val="3"/>
          <w:ilvl w:val="0"/>
        </w:numPr>
        <w:jc w:val="center"/>
        <w:rPr>
          <w:rFonts w:ascii="Arial" w:hAnsi="Arial" w:cs="Arial"/>
          <w:sz w:val="20"/>
          <w:szCs w:val="20"/>
          <w:highlight w:val="white"/>
        </w:rPr>
      </w:pPr>
      <w:r>
        <w:rPr>
          <w:rFonts w:ascii="Arial" w:hAnsi="Arial" w:cs="Arial"/>
          <w:sz w:val="20"/>
          <w:szCs w:val="20"/>
          <w:highlight w:val="white"/>
        </w:rPr>
        <w:t xml:space="preserve">ПОРЯДОК ОКАЗАНИЯ УСЛУГ</w:t>
      </w:r>
      <w:r>
        <w:rPr>
          <w:rFonts w:ascii="Arial" w:hAnsi="Arial" w:cs="Arial"/>
          <w:sz w:val="20"/>
          <w:szCs w:val="20"/>
          <w:highlight w:val="white"/>
        </w:rPr>
      </w:r>
      <w:r>
        <w:rPr>
          <w:rFonts w:ascii="Arial" w:hAnsi="Arial" w:cs="Arial"/>
          <w:sz w:val="20"/>
          <w:szCs w:val="20"/>
          <w:highlight w:val="white"/>
        </w:rPr>
      </w:r>
    </w:p>
    <w:p>
      <w:pPr>
        <w:numPr>
          <w:numId w:val="3"/>
          <w:ilvl w:val="1"/>
        </w:numPr>
        <w:jc w:val="both"/>
        <w:rPr>
          <w:rFonts w:ascii="Arial" w:hAnsi="Arial" w:cs="Arial"/>
          <w:bCs/>
          <w:sz w:val="20"/>
          <w:szCs w:val="20"/>
          <w:highlight w:val="white"/>
        </w:rPr>
      </w:pPr>
      <w:r>
        <w:rPr>
          <w:rFonts w:ascii="Arial" w:hAnsi="Arial" w:cs="Arial"/>
          <w:bCs/>
          <w:sz w:val="20"/>
          <w:szCs w:val="20"/>
          <w:highlight w:val="white"/>
        </w:rPr>
        <w:t xml:space="preserve">Оказание услуг </w:t>
      </w:r>
      <w:r>
        <w:rPr>
          <w:rFonts w:ascii="Arial" w:hAnsi="Arial" w:cs="Arial"/>
          <w:sz w:val="20"/>
          <w:szCs w:val="20"/>
          <w:highlight w:val="white"/>
        </w:rPr>
        <w:t xml:space="preserve">осуществляется в форме ежемесячного абонентского обслуживания и включает в себя нижеследующий комплекс мероприятий:</w:t>
      </w:r>
      <w:r>
        <w:rPr>
          <w:rFonts w:ascii="Arial" w:hAnsi="Arial" w:cs="Arial"/>
          <w:bCs/>
          <w:sz w:val="20"/>
          <w:szCs w:val="20"/>
          <w:highlight w:val="white"/>
        </w:rPr>
      </w:r>
      <w:r>
        <w:rPr>
          <w:rFonts w:ascii="Arial" w:hAnsi="Arial" w:cs="Arial"/>
          <w:bCs/>
          <w:sz w:val="20"/>
          <w:szCs w:val="20"/>
          <w:highlight w:val="white"/>
        </w:rPr>
      </w:r>
    </w:p>
    <w:p>
      <w:pPr>
        <w:pStyle w:val="920"/>
        <w:numPr>
          <w:numId w:val="3"/>
          <w:ilvl w:val="2"/>
        </w:numPr>
        <w:tabs>
          <w:tab w:val="left" w:pos="360" w:leader="none"/>
        </w:tabs>
        <w:jc w:val="both"/>
        <w:rPr>
          <w:sz w:val="20"/>
          <w:szCs w:val="20"/>
          <w:highlight w:val="white"/>
        </w:rPr>
      </w:pPr>
      <w:r>
        <w:rPr>
          <w:sz w:val="20"/>
          <w:szCs w:val="20"/>
          <w:highlight w:val="white"/>
        </w:rPr>
        <w:t xml:space="preserve">Адаптацию (установку, тестирование, регистрацию, формирование в комплекты</w:t>
      </w:r>
      <w:r>
        <w:rPr>
          <w:sz w:val="20"/>
          <w:szCs w:val="20"/>
          <w:highlight w:val="white"/>
        </w:rPr>
        <w:t xml:space="preserve"> </w:t>
      </w:r>
      <w:r>
        <w:rPr>
          <w:sz w:val="20"/>
          <w:szCs w:val="20"/>
          <w:highlight w:val="white"/>
        </w:rPr>
        <w:t xml:space="preserve">внесение других изменений, необходимых для работоспособности на оборудовании Заказчика</w:t>
      </w:r>
      <w:r>
        <w:rPr>
          <w:sz w:val="20"/>
          <w:szCs w:val="20"/>
          <w:highlight w:val="white"/>
        </w:rPr>
        <w:t xml:space="preserve">) экземпляров Систем;</w:t>
      </w:r>
      <w:r>
        <w:rPr>
          <w:sz w:val="20"/>
          <w:szCs w:val="20"/>
          <w:highlight w:val="white"/>
        </w:rPr>
      </w:r>
      <w:r>
        <w:rPr>
          <w:sz w:val="20"/>
          <w:szCs w:val="20"/>
          <w:highlight w:val="white"/>
        </w:rPr>
      </w:r>
    </w:p>
    <w:p>
      <w:pPr>
        <w:pStyle w:val="920"/>
        <w:numPr>
          <w:numId w:val="3"/>
          <w:ilvl w:val="2"/>
        </w:numPr>
        <w:tabs>
          <w:tab w:val="left" w:pos="360" w:leader="none"/>
        </w:tabs>
        <w:jc w:val="both"/>
        <w:rPr>
          <w:sz w:val="20"/>
          <w:szCs w:val="20"/>
          <w:highlight w:val="white"/>
        </w:rPr>
      </w:pPr>
      <w:r>
        <w:rPr>
          <w:sz w:val="20"/>
          <w:szCs w:val="20"/>
          <w:highlight w:val="white"/>
        </w:rPr>
        <w:t xml:space="preserve">Сопровождение адаптированных Исполнителем экземпляров Систем, в т.ч.: </w:t>
      </w:r>
      <w:r>
        <w:rPr>
          <w:sz w:val="20"/>
          <w:szCs w:val="20"/>
          <w:highlight w:val="white"/>
        </w:rPr>
      </w:r>
      <w:r>
        <w:rPr>
          <w:sz w:val="20"/>
          <w:szCs w:val="20"/>
          <w:highlight w:val="white"/>
        </w:rPr>
      </w:r>
    </w:p>
    <w:p>
      <w:pPr>
        <w:pStyle w:val="920"/>
        <w:numPr>
          <w:numId w:val="3"/>
          <w:ilvl w:val="3"/>
        </w:numPr>
        <w:tabs>
          <w:tab w:val="left" w:pos="360" w:leader="none"/>
        </w:tabs>
        <w:jc w:val="both"/>
        <w:rPr>
          <w:sz w:val="20"/>
          <w:szCs w:val="20"/>
          <w:highlight w:val="white"/>
        </w:rPr>
      </w:pPr>
      <w:r>
        <w:rPr>
          <w:sz w:val="20"/>
          <w:szCs w:val="20"/>
          <w:highlight w:val="white"/>
        </w:rPr>
        <w:t xml:space="preserve">Передачу Заказчику актуальной информации (актуальных наборов текстовой информации, адаптированных к имеющимся у Заказчика экземплярам Систем);</w:t>
      </w:r>
      <w:r>
        <w:rPr>
          <w:sz w:val="20"/>
          <w:szCs w:val="20"/>
          <w:highlight w:val="white"/>
        </w:rPr>
      </w:r>
      <w:r>
        <w:rPr>
          <w:sz w:val="20"/>
          <w:szCs w:val="20"/>
          <w:highlight w:val="white"/>
        </w:rPr>
      </w:r>
    </w:p>
    <w:p>
      <w:pPr>
        <w:pStyle w:val="920"/>
        <w:numPr>
          <w:numId w:val="3"/>
          <w:ilvl w:val="3"/>
        </w:numPr>
        <w:tabs>
          <w:tab w:val="left" w:pos="360" w:leader="none"/>
        </w:tabs>
        <w:jc w:val="both"/>
        <w:rPr>
          <w:sz w:val="20"/>
          <w:szCs w:val="20"/>
          <w:highlight w:val="white"/>
        </w:rPr>
      </w:pPr>
      <w:r>
        <w:rPr>
          <w:sz w:val="20"/>
          <w:szCs w:val="20"/>
          <w:highlight w:val="white"/>
        </w:rPr>
        <w:t xml:space="preserve">Техническую профилактику работоспособности Систем и восстановление работоспособности Систем в случае сбоев компьютерного оборудования после их устранения Заказчиком (тестирование, переустановка);</w:t>
      </w:r>
      <w:r>
        <w:rPr>
          <w:sz w:val="20"/>
          <w:szCs w:val="20"/>
          <w:highlight w:val="white"/>
        </w:rPr>
      </w:r>
      <w:r>
        <w:rPr>
          <w:sz w:val="20"/>
          <w:szCs w:val="20"/>
          <w:highlight w:val="white"/>
        </w:rPr>
      </w:r>
    </w:p>
    <w:p>
      <w:pPr>
        <w:pStyle w:val="920"/>
        <w:numPr>
          <w:numId w:val="3"/>
          <w:ilvl w:val="3"/>
        </w:numPr>
        <w:tabs>
          <w:tab w:val="left" w:pos="360" w:leader="none"/>
        </w:tabs>
        <w:jc w:val="both"/>
        <w:rPr>
          <w:sz w:val="20"/>
          <w:szCs w:val="20"/>
          <w:highlight w:val="white"/>
        </w:rPr>
      </w:pPr>
      <w:r>
        <w:rPr>
          <w:sz w:val="20"/>
          <w:szCs w:val="20"/>
          <w:highlight w:val="white"/>
        </w:rPr>
        <w:t xml:space="preserve">Предоставление</w:t>
      </w:r>
      <w:r>
        <w:rPr>
          <w:sz w:val="20"/>
          <w:szCs w:val="20"/>
          <w:highlight w:val="white"/>
        </w:rPr>
        <w:t xml:space="preserve"> дополнительной информации</w:t>
      </w:r>
      <w:r>
        <w:rPr>
          <w:sz w:val="20"/>
          <w:szCs w:val="20"/>
          <w:highlight w:val="white"/>
        </w:rPr>
        <w:t xml:space="preserve"> и возможностей, состав которых</w:t>
      </w:r>
      <w:r>
        <w:rPr>
          <w:sz w:val="20"/>
          <w:szCs w:val="20"/>
          <w:highlight w:val="white"/>
        </w:rPr>
        <w:t xml:space="preserve"> определяется Исполнителем;</w:t>
      </w:r>
      <w:r>
        <w:rPr>
          <w:sz w:val="20"/>
          <w:szCs w:val="20"/>
          <w:highlight w:val="white"/>
        </w:rPr>
      </w:r>
      <w:r>
        <w:rPr>
          <w:sz w:val="20"/>
          <w:szCs w:val="20"/>
          <w:highlight w:val="white"/>
        </w:rPr>
      </w:r>
    </w:p>
    <w:p>
      <w:pPr>
        <w:pStyle w:val="920"/>
        <w:numPr>
          <w:numId w:val="3"/>
          <w:ilvl w:val="3"/>
        </w:numPr>
        <w:tabs>
          <w:tab w:val="left" w:pos="360" w:leader="none"/>
        </w:tabs>
        <w:jc w:val="both"/>
        <w:rPr>
          <w:sz w:val="20"/>
          <w:szCs w:val="20"/>
          <w:highlight w:val="white"/>
        </w:rPr>
      </w:pPr>
      <w:r>
        <w:rPr>
          <w:sz w:val="20"/>
          <w:szCs w:val="20"/>
          <w:highlight w:val="white"/>
        </w:rPr>
        <w:t xml:space="preserve">Мониторинг данных об использовании Систем с целью предотвращения их противоправного и контрафактного использования, а также замедления работы; </w:t>
      </w:r>
      <w:r>
        <w:rPr>
          <w:sz w:val="20"/>
          <w:szCs w:val="20"/>
          <w:highlight w:val="white"/>
        </w:rPr>
      </w:r>
      <w:r>
        <w:rPr>
          <w:sz w:val="20"/>
          <w:szCs w:val="20"/>
          <w:highlight w:val="white"/>
        </w:rPr>
      </w:r>
    </w:p>
    <w:p>
      <w:pPr>
        <w:pStyle w:val="920"/>
        <w:numPr>
          <w:numId w:val="3"/>
          <w:ilvl w:val="3"/>
        </w:numPr>
        <w:tabs>
          <w:tab w:val="left" w:pos="360" w:leader="none"/>
        </w:tabs>
        <w:jc w:val="both"/>
        <w:rPr>
          <w:sz w:val="20"/>
          <w:szCs w:val="20"/>
          <w:highlight w:val="white"/>
        </w:rPr>
      </w:pPr>
      <w:r>
        <w:rPr>
          <w:sz w:val="20"/>
          <w:szCs w:val="20"/>
          <w:highlight w:val="white"/>
        </w:rPr>
        <w:t xml:space="preserve">Консультирование по работе с Системами, в т.ч. обучение Заказчика работе с Системами по методикам Сети КонсультантПлюс с возможностью получения специального сертификата об обучении;</w:t>
      </w:r>
      <w:r>
        <w:rPr>
          <w:sz w:val="20"/>
          <w:szCs w:val="20"/>
          <w:highlight w:val="white"/>
        </w:rPr>
      </w:r>
      <w:r>
        <w:rPr>
          <w:sz w:val="20"/>
          <w:szCs w:val="20"/>
          <w:highlight w:val="white"/>
        </w:rPr>
      </w:r>
    </w:p>
    <w:p>
      <w:pPr>
        <w:pStyle w:val="920"/>
        <w:numPr>
          <w:numId w:val="3"/>
          <w:ilvl w:val="3"/>
        </w:numPr>
        <w:tabs>
          <w:tab w:val="left" w:pos="360" w:leader="none"/>
        </w:tabs>
        <w:jc w:val="both"/>
        <w:rPr>
          <w:sz w:val="20"/>
          <w:szCs w:val="20"/>
          <w:highlight w:val="white"/>
        </w:rPr>
      </w:pPr>
      <w:r>
        <w:rPr>
          <w:sz w:val="20"/>
          <w:szCs w:val="20"/>
          <w:highlight w:val="white"/>
        </w:rPr>
        <w:t xml:space="preserve">Предоставление возможности получения Заказчиком консультаций по работе Систем по телефону, по электронной почте, </w:t>
      </w:r>
      <w:bookmarkStart w:id="6" w:name="_Hlk52049394"/>
      <w:r>
        <w:rPr>
          <w:sz w:val="20"/>
          <w:szCs w:val="20"/>
          <w:highlight w:val="white"/>
        </w:rPr>
        <w:t xml:space="preserve">через специальные сервисы </w:t>
      </w:r>
      <w:bookmarkEnd w:id="6"/>
      <w:r>
        <w:rPr>
          <w:sz w:val="20"/>
          <w:szCs w:val="20"/>
          <w:highlight w:val="white"/>
        </w:rPr>
        <w:t xml:space="preserve">и базы данных либо в офисе Исполнителя;</w:t>
      </w:r>
      <w:r>
        <w:rPr>
          <w:sz w:val="20"/>
          <w:szCs w:val="20"/>
          <w:highlight w:val="white"/>
        </w:rPr>
      </w:r>
      <w:r>
        <w:rPr>
          <w:sz w:val="20"/>
          <w:szCs w:val="20"/>
          <w:highlight w:val="white"/>
        </w:rPr>
      </w:r>
    </w:p>
    <w:p>
      <w:pPr>
        <w:pStyle w:val="920"/>
        <w:numPr>
          <w:numId w:val="3"/>
          <w:ilvl w:val="3"/>
        </w:numPr>
        <w:tabs>
          <w:tab w:val="left" w:pos="360" w:leader="none"/>
        </w:tabs>
        <w:jc w:val="both"/>
        <w:rPr>
          <w:sz w:val="20"/>
          <w:szCs w:val="20"/>
          <w:highlight w:val="white"/>
        </w:rPr>
      </w:pPr>
      <w:r>
        <w:rPr>
          <w:sz w:val="20"/>
          <w:szCs w:val="20"/>
          <w:highlight w:val="white"/>
        </w:rPr>
        <w:t xml:space="preserve">Предоставление другой информации и материалов;</w:t>
      </w:r>
      <w:r>
        <w:rPr>
          <w:sz w:val="20"/>
          <w:szCs w:val="20"/>
          <w:highlight w:val="white"/>
        </w:rPr>
      </w:r>
      <w:r>
        <w:rPr>
          <w:sz w:val="20"/>
          <w:szCs w:val="20"/>
          <w:highlight w:val="white"/>
        </w:rPr>
      </w:r>
    </w:p>
    <w:p>
      <w:pPr>
        <w:pStyle w:val="920"/>
        <w:numPr>
          <w:numId w:val="3"/>
          <w:ilvl w:val="3"/>
        </w:numPr>
        <w:tabs>
          <w:tab w:val="left" w:pos="360" w:leader="none"/>
        </w:tabs>
        <w:jc w:val="both"/>
        <w:rPr>
          <w:sz w:val="20"/>
          <w:szCs w:val="20"/>
          <w:highlight w:val="white"/>
        </w:rPr>
      </w:pPr>
      <w:r>
        <w:rPr>
          <w:sz w:val="20"/>
          <w:szCs w:val="20"/>
          <w:highlight w:val="white"/>
        </w:rPr>
        <w:t xml:space="preserve">Предоставление иных услуг по сопровождению адаптированных Исполнителем экземпляров Систем.</w:t>
      </w:r>
      <w:r>
        <w:rPr>
          <w:sz w:val="20"/>
          <w:szCs w:val="20"/>
          <w:highlight w:val="white"/>
        </w:rPr>
      </w:r>
      <w:r>
        <w:rPr>
          <w:sz w:val="20"/>
          <w:szCs w:val="20"/>
          <w:highlight w:val="white"/>
        </w:rPr>
      </w:r>
    </w:p>
    <w:p>
      <w:pPr>
        <w:pStyle w:val="920"/>
        <w:widowControl/>
        <w:numPr>
          <w:numId w:val="3"/>
          <w:ilvl w:val="1"/>
        </w:numPr>
        <w:jc w:val="both"/>
        <w:rPr>
          <w:sz w:val="20"/>
          <w:szCs w:val="20"/>
          <w:highlight w:val="white"/>
        </w:rPr>
      </w:pPr>
      <w:r>
        <w:rPr>
          <w:sz w:val="20"/>
          <w:szCs w:val="20"/>
          <w:highlight w:val="white"/>
        </w:rPr>
        <w:t xml:space="preserve">Заказчик имеет право получать текущую информацию не реже 1 (одного) раза в неделю, в т.ч. принимать наборы текстовой информации в принадлежащий ему экземпляр Системы в соответствии с его функциональным назначением.</w:t>
      </w:r>
      <w:r>
        <w:rPr>
          <w:sz w:val="20"/>
          <w:szCs w:val="20"/>
          <w:highlight w:val="white"/>
        </w:rPr>
      </w:r>
      <w:r>
        <w:rPr>
          <w:sz w:val="20"/>
          <w:szCs w:val="20"/>
          <w:highlight w:val="white"/>
        </w:rPr>
      </w:r>
    </w:p>
    <w:p>
      <w:pPr>
        <w:numPr>
          <w:numId w:val="3"/>
          <w:ilvl w:val="1"/>
        </w:numPr>
        <w:jc w:val="both"/>
        <w:rPr>
          <w:rFonts w:ascii="Arial" w:hAnsi="Arial" w:cs="Arial"/>
          <w:sz w:val="20"/>
          <w:szCs w:val="20"/>
          <w:highlight w:val="white"/>
        </w:rPr>
      </w:pPr>
      <w:r>
        <w:rPr>
          <w:rFonts w:ascii="Arial" w:hAnsi="Arial" w:cs="Arial"/>
          <w:sz w:val="20"/>
          <w:szCs w:val="20"/>
          <w:highlight w:val="white"/>
        </w:rPr>
        <w:t xml:space="preserve">Оказание Заказчику текущих услуг </w:t>
      </w:r>
      <w:r>
        <w:rPr>
          <w:rFonts w:ascii="Arial" w:hAnsi="Arial" w:cs="Arial"/>
          <w:sz w:val="20"/>
          <w:szCs w:val="20"/>
          <w:highlight w:val="white"/>
        </w:rPr>
        <w:t xml:space="preserve">с использованием экземпляров Систем</w:t>
      </w:r>
      <w:r>
        <w:rPr>
          <w:rFonts w:ascii="Arial" w:hAnsi="Arial" w:cs="Arial"/>
          <w:sz w:val="20"/>
          <w:szCs w:val="20"/>
          <w:highlight w:val="white"/>
        </w:rPr>
        <w:t xml:space="preserve"> осуществляется без выбора документов.</w:t>
      </w:r>
      <w:r>
        <w:rPr>
          <w:rFonts w:ascii="Arial" w:hAnsi="Arial" w:cs="Arial"/>
          <w:sz w:val="20"/>
          <w:szCs w:val="20"/>
          <w:highlight w:val="white"/>
        </w:rPr>
      </w:r>
      <w:r>
        <w:rPr>
          <w:rFonts w:ascii="Arial" w:hAnsi="Arial" w:cs="Arial"/>
          <w:sz w:val="20"/>
          <w:szCs w:val="20"/>
          <w:highlight w:val="white"/>
        </w:rPr>
      </w:r>
    </w:p>
    <w:p>
      <w:pPr>
        <w:pStyle w:val="920"/>
        <w:numPr>
          <w:numId w:val="3"/>
          <w:ilvl w:val="1"/>
        </w:numPr>
        <w:tabs>
          <w:tab w:val="num" w:pos="0" w:leader="none"/>
          <w:tab w:val="left" w:pos="360" w:leader="none"/>
        </w:tabs>
        <w:jc w:val="both"/>
        <w:rPr>
          <w:sz w:val="20"/>
          <w:szCs w:val="20"/>
          <w:highlight w:val="white"/>
        </w:rPr>
      </w:pPr>
      <w:r>
        <w:rPr>
          <w:sz w:val="20"/>
          <w:szCs w:val="20"/>
          <w:highlight w:val="white"/>
        </w:rPr>
        <w:t xml:space="preserve">Все расходы, связанные с обеспечением достаточного для оказания текущих услуг трафика, оплачиваются Заказчиком за свой счет.</w:t>
      </w:r>
      <w:r>
        <w:rPr>
          <w:sz w:val="20"/>
          <w:szCs w:val="20"/>
          <w:highlight w:val="white"/>
        </w:rPr>
      </w:r>
      <w:r>
        <w:rPr>
          <w:sz w:val="20"/>
          <w:szCs w:val="20"/>
          <w:highlight w:val="white"/>
        </w:rPr>
      </w:r>
    </w:p>
    <w:p>
      <w:pPr>
        <w:pStyle w:val="920"/>
        <w:numPr>
          <w:numId w:val="3"/>
          <w:ilvl w:val="1"/>
        </w:numPr>
        <w:tabs>
          <w:tab w:val="num" w:pos="0" w:leader="none"/>
          <w:tab w:val="left" w:pos="360" w:leader="none"/>
        </w:tabs>
        <w:jc w:val="both"/>
        <w:rPr>
          <w:sz w:val="20"/>
          <w:szCs w:val="20"/>
          <w:highlight w:val="white"/>
        </w:rPr>
      </w:pPr>
      <w:r>
        <w:rPr>
          <w:sz w:val="20"/>
          <w:szCs w:val="20"/>
          <w:highlight w:val="white"/>
        </w:rPr>
        <w:t xml:space="preserve">Работоспособность компьютерного, телекоммуникационного оборудования Заказчика и каналов связи Заказчик обеспечивает самостоятельно. </w:t>
      </w:r>
      <w:r>
        <w:rPr>
          <w:sz w:val="20"/>
          <w:szCs w:val="20"/>
          <w:highlight w:val="white"/>
        </w:rPr>
      </w:r>
      <w:r>
        <w:rPr>
          <w:sz w:val="20"/>
          <w:szCs w:val="20"/>
          <w:highlight w:val="white"/>
        </w:rPr>
      </w:r>
    </w:p>
    <w:p>
      <w:pPr>
        <w:jc w:val="both"/>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p>
      <w:pPr>
        <w:numPr>
          <w:numId w:val="3"/>
          <w:ilvl w:val="0"/>
        </w:numPr>
        <w:tabs>
          <w:tab w:val="num" w:pos="0" w:leader="none"/>
        </w:tabs>
        <w:jc w:val="center"/>
        <w:rPr>
          <w:rFonts w:ascii="Arial" w:hAnsi="Arial" w:cs="Arial"/>
          <w:sz w:val="20"/>
          <w:szCs w:val="20"/>
          <w:highlight w:val="white"/>
        </w:rPr>
      </w:pPr>
      <w:r>
        <w:rPr>
          <w:rFonts w:ascii="Arial" w:hAnsi="Arial" w:cs="Arial"/>
          <w:bCs/>
          <w:sz w:val="20"/>
          <w:szCs w:val="20"/>
          <w:highlight w:val="white"/>
        </w:rPr>
        <w:t xml:space="preserve">ЦЕНА ДОГОВОРА</w:t>
      </w:r>
      <w:r>
        <w:rPr>
          <w:rFonts w:ascii="Arial" w:hAnsi="Arial" w:cs="Arial"/>
          <w:sz w:val="20"/>
          <w:szCs w:val="20"/>
          <w:highlight w:val="white"/>
        </w:rPr>
      </w:r>
      <w:r>
        <w:rPr>
          <w:rFonts w:ascii="Arial" w:hAnsi="Arial" w:cs="Arial"/>
          <w:sz w:val="20"/>
          <w:szCs w:val="20"/>
          <w:highlight w:val="white"/>
        </w:rPr>
      </w:r>
    </w:p>
    <w:p>
      <w:pPr>
        <w:numPr>
          <w:numId w:val="3"/>
          <w:ilvl w:val="1"/>
        </w:numPr>
        <w:jc w:val="both"/>
        <w:rPr>
          <w:rFonts w:ascii="Arial" w:hAnsi="Arial" w:cs="Arial"/>
          <w:sz w:val="20"/>
          <w:szCs w:val="20"/>
          <w:highlight w:val="white"/>
        </w:rPr>
      </w:pPr>
      <w:r>
        <w:rPr>
          <w:rFonts w:ascii="Arial" w:hAnsi="Arial" w:cs="Arial"/>
          <w:sz w:val="20"/>
          <w:szCs w:val="20"/>
          <w:highlight w:val="white"/>
        </w:rPr>
        <w:t xml:space="preserve">Цена</w:t>
      </w:r>
      <w:r>
        <w:rPr>
          <w:rFonts w:ascii="Arial" w:hAnsi="Arial" w:cs="Arial"/>
          <w:sz w:val="20"/>
          <w:szCs w:val="20"/>
          <w:highlight w:val="white"/>
        </w:rPr>
        <w:t xml:space="preserve"> настоящего Договора составляет </w:t>
      </w:r>
      <w:r>
        <w:rPr>
          <w:rFonts w:ascii="Arial" w:hAnsi="Arial" w:cs="Arial"/>
          <w:sz w:val="20"/>
          <w:szCs w:val="20"/>
          <w:highlight w:val="white"/>
        </w:rPr>
        <w:t xml:space="preserve">___________</w:t>
      </w:r>
      <w:r>
        <w:rPr>
          <w:rFonts w:ascii="Arial" w:hAnsi="Arial" w:cs="Arial"/>
          <w:sz w:val="20"/>
          <w:szCs w:val="20"/>
          <w:highlight w:val="white"/>
        </w:rPr>
        <w:t xml:space="preserve">_  руб.</w:t>
      </w:r>
      <w:r>
        <w:rPr>
          <w:rFonts w:ascii="Arial" w:hAnsi="Arial" w:cs="Arial"/>
          <w:sz w:val="20"/>
          <w:szCs w:val="20"/>
          <w:highlight w:val="white"/>
        </w:rPr>
        <w:t xml:space="preserve"> __ </w:t>
      </w:r>
      <w:r>
        <w:rPr>
          <w:rFonts w:ascii="Arial" w:hAnsi="Arial" w:cs="Arial"/>
          <w:sz w:val="20"/>
          <w:szCs w:val="20"/>
          <w:highlight w:val="white"/>
        </w:rPr>
        <w:t xml:space="preserve">коп.</w:t>
      </w:r>
      <w:r>
        <w:rPr>
          <w:rFonts w:ascii="Arial" w:hAnsi="Arial" w:cs="Arial"/>
          <w:sz w:val="20"/>
          <w:szCs w:val="20"/>
          <w:highlight w:val="white"/>
        </w:rPr>
        <w:t xml:space="preserve"> (</w:t>
      </w:r>
      <w:r>
        <w:rPr>
          <w:rFonts w:ascii="Arial" w:hAnsi="Arial" w:cs="Arial"/>
          <w:sz w:val="20"/>
          <w:szCs w:val="20"/>
          <w:highlight w:val="white"/>
        </w:rPr>
        <w:t xml:space="preserve">_________________________________________________ рублей __</w:t>
      </w:r>
      <w:r>
        <w:rPr>
          <w:rFonts w:ascii="Arial" w:hAnsi="Arial" w:cs="Arial"/>
          <w:sz w:val="20"/>
          <w:szCs w:val="20"/>
          <w:highlight w:val="white"/>
        </w:rPr>
        <w:t xml:space="preserve">копеек</w:t>
      </w:r>
      <w:r>
        <w:rPr>
          <w:rFonts w:ascii="Arial" w:hAnsi="Arial" w:cs="Arial"/>
          <w:sz w:val="20"/>
          <w:szCs w:val="20"/>
          <w:highlight w:val="white"/>
        </w:rPr>
        <w:t xml:space="preserve">), </w:t>
      </w:r>
      <w:r>
        <w:rPr>
          <w:rFonts w:ascii="Arial" w:hAnsi="Arial" w:cs="Arial"/>
          <w:sz w:val="20"/>
          <w:szCs w:val="20"/>
          <w:highlight w:val="white"/>
        </w:rPr>
        <w:t xml:space="preserve">в том числе НДС (20%):</w:t>
      </w:r>
      <w:r>
        <w:rPr>
          <w:rFonts w:ascii="Arial" w:hAnsi="Arial" w:cs="Arial"/>
          <w:sz w:val="20"/>
          <w:szCs w:val="20"/>
          <w:highlight w:val="white"/>
        </w:rPr>
        <w:t xml:space="preserve"> </w:t>
      </w:r>
      <w:r>
        <w:rPr>
          <w:rFonts w:ascii="Arial" w:hAnsi="Arial" w:cs="Arial"/>
          <w:sz w:val="20"/>
          <w:szCs w:val="20"/>
          <w:highlight w:val="white"/>
        </w:rPr>
        <w:t xml:space="preserve">_________</w:t>
      </w:r>
      <w:r>
        <w:rPr>
          <w:rFonts w:ascii="Arial" w:hAnsi="Arial" w:cs="Arial"/>
          <w:sz w:val="20"/>
          <w:szCs w:val="20"/>
          <w:highlight w:val="white"/>
        </w:rPr>
        <w:t xml:space="preserve"> руб. </w:t>
      </w:r>
      <w:r>
        <w:rPr>
          <w:rFonts w:ascii="Arial" w:hAnsi="Arial" w:cs="Arial"/>
          <w:sz w:val="20"/>
          <w:szCs w:val="20"/>
          <w:highlight w:val="white"/>
        </w:rPr>
        <w:t xml:space="preserve">__</w:t>
      </w:r>
      <w:r>
        <w:rPr>
          <w:rFonts w:ascii="Arial" w:hAnsi="Arial" w:cs="Arial"/>
          <w:sz w:val="20"/>
          <w:szCs w:val="20"/>
          <w:highlight w:val="white"/>
        </w:rPr>
        <w:t xml:space="preserve">коп.</w:t>
      </w:r>
      <w:r>
        <w:rPr>
          <w:rFonts w:ascii="Arial" w:hAnsi="Arial" w:cs="Arial"/>
          <w:sz w:val="20"/>
          <w:szCs w:val="20"/>
          <w:highlight w:val="white"/>
        </w:rPr>
        <w:t xml:space="preserve"> (</w:t>
      </w:r>
      <w:r>
        <w:rPr>
          <w:rFonts w:ascii="Arial" w:hAnsi="Arial" w:cs="Arial"/>
          <w:sz w:val="20"/>
          <w:szCs w:val="20"/>
          <w:highlight w:val="white"/>
        </w:rPr>
        <w:t xml:space="preserve">_______________________________________________ </w:t>
      </w:r>
      <w:r>
        <w:rPr>
          <w:rFonts w:ascii="Arial" w:hAnsi="Arial" w:cs="Arial"/>
          <w:sz w:val="20"/>
          <w:szCs w:val="20"/>
          <w:highlight w:val="white"/>
        </w:rPr>
        <w:t xml:space="preserve">рублей  _</w:t>
      </w:r>
      <w:r>
        <w:rPr>
          <w:rFonts w:ascii="Arial" w:hAnsi="Arial" w:cs="Arial"/>
          <w:sz w:val="20"/>
          <w:szCs w:val="20"/>
          <w:highlight w:val="white"/>
        </w:rPr>
        <w:t xml:space="preserve">_</w:t>
      </w:r>
      <w:r>
        <w:rPr>
          <w:rFonts w:ascii="Arial" w:hAnsi="Arial" w:cs="Arial"/>
          <w:sz w:val="20"/>
          <w:szCs w:val="20"/>
          <w:highlight w:val="white"/>
        </w:rPr>
        <w:t xml:space="preserve">копеек</w:t>
      </w:r>
      <w:r>
        <w:rPr>
          <w:rFonts w:ascii="Arial" w:hAnsi="Arial" w:cs="Arial"/>
          <w:sz w:val="20"/>
          <w:szCs w:val="20"/>
          <w:highlight w:val="white"/>
        </w:rPr>
        <w:t xml:space="preserve">)</w:t>
      </w:r>
      <w:r>
        <w:rPr>
          <w:rFonts w:ascii="Arial" w:hAnsi="Arial" w:cs="Arial"/>
          <w:sz w:val="20"/>
          <w:szCs w:val="20"/>
          <w:highlight w:val="white"/>
        </w:rPr>
        <w:t xml:space="preserve">.</w:t>
      </w:r>
      <w:r>
        <w:rPr>
          <w:rFonts w:ascii="Arial" w:hAnsi="Arial" w:cs="Arial"/>
          <w:sz w:val="20"/>
          <w:szCs w:val="20"/>
          <w:highlight w:val="white"/>
        </w:rPr>
      </w:r>
      <w:r>
        <w:rPr>
          <w:rFonts w:ascii="Arial" w:hAnsi="Arial" w:cs="Arial"/>
          <w:sz w:val="20"/>
          <w:szCs w:val="20"/>
          <w:highlight w:val="white"/>
        </w:rPr>
      </w:r>
    </w:p>
    <w:p>
      <w:pPr>
        <w:numPr>
          <w:numId w:val="3"/>
          <w:ilvl w:val="1"/>
        </w:numPr>
        <w:jc w:val="both"/>
        <w:rPr>
          <w:rFonts w:ascii="Arial" w:hAnsi="Arial" w:cs="Arial"/>
          <w:sz w:val="20"/>
          <w:szCs w:val="20"/>
          <w:highlight w:val="white"/>
        </w:rPr>
      </w:pPr>
      <w:r>
        <w:rPr>
          <w:rFonts w:ascii="Arial" w:hAnsi="Arial" w:cs="Arial"/>
          <w:sz w:val="20"/>
          <w:szCs w:val="20"/>
          <w:highlight w:val="white"/>
        </w:rPr>
        <w:t xml:space="preserve">Ежемесячная стоимость услуг определяется следующим образом:</w:t>
      </w:r>
      <w:bookmarkStart w:id="7" w:name="FinConditionsTable"/>
      <w:r>
        <w:rPr>
          <w:sz w:val="20"/>
          <w:szCs w:val="20"/>
          <w:highlight w:val="white"/>
        </w:rPr>
      </w:r>
      <w:bookmarkEnd w:id="7"/>
      <w:r>
        <w:rPr>
          <w:rFonts w:ascii="Arial" w:hAnsi="Arial" w:cs="Arial"/>
          <w:sz w:val="20"/>
          <w:szCs w:val="20"/>
          <w:highlight w:val="white"/>
        </w:rPr>
      </w:r>
      <w:r>
        <w:rPr>
          <w:rFonts w:ascii="Arial" w:hAnsi="Arial" w:cs="Arial"/>
          <w:sz w:val="20"/>
          <w:szCs w:val="20"/>
          <w:highlight w:val="white"/>
        </w:rPr>
      </w:r>
    </w:p>
    <w:tbl>
      <w:tblPr>
        <w:tblW w:w="10504" w:type="dxa"/>
        <w:tblInd w:w="-1" w:type="dxa"/>
        <w:tblBorders>
          <w:top w:val="single" w:color="auto" w:sz="6" w:space="0"/>
          <w:left w:val="single" w:color="auto" w:sz="6" w:space="0"/>
          <w:bottom w:val="single" w:color="auto" w:sz="6" w:space="0"/>
          <w:right w:val="single" w:color="auto" w:sz="6" w:space="0"/>
        </w:tblBorders>
        <w:tblLayout w:type="fixed"/>
        <w:tblLook w:val="0000" w:firstRow="0" w:lastRow="0" w:firstColumn="0" w:lastColumn="0" w:noHBand="0" w:noVBand="0"/>
      </w:tblPr>
      <w:tblGrid>
        <w:gridCol w:w="6605"/>
        <w:gridCol w:w="1951"/>
        <w:gridCol w:w="1948"/>
      </w:tblGrid>
      <w:tr>
        <w:trPr>
          <w:trHeight w:val="184"/>
        </w:trPr>
        <w:tblPrEx/>
        <w:tc>
          <w:tcPr>
            <w:tcW w:w="6605" w:type="dxa"/>
            <w:tcBorders>
              <w:top w:val="single" w:color="auto" w:sz="6" w:space="0"/>
              <w:left w:val="single" w:color="auto" w:sz="6" w:space="0"/>
              <w:bottom w:val="single" w:color="auto" w:sz="6" w:space="0"/>
              <w:right w:val="single" w:color="auto" w:sz="4" w:space="0"/>
            </w:tcBorders>
            <w:noWrap w:val="false"/>
            <w:textDirection w:val="lrTb"/>
            <w:vAlign w:val="center"/>
          </w:tcPr>
          <w:p>
            <w:pPr>
              <w:rPr>
                <w:rFonts w:ascii="Arial" w:hAnsi="Arial" w:cs="Arial"/>
                <w:bCs/>
                <w:sz w:val="20"/>
                <w:szCs w:val="20"/>
                <w:highlight w:val="white"/>
              </w:rPr>
            </w:pPr>
            <w:r>
              <w:rPr>
                <w:rFonts w:ascii="Arial" w:hAnsi="Arial" w:cs="Arial"/>
                <w:bCs/>
                <w:sz w:val="20"/>
                <w:szCs w:val="20"/>
                <w:highlight w:val="white"/>
              </w:rPr>
              <w:t xml:space="preserve">Наименование экземпляра Системы</w:t>
            </w:r>
            <w:r>
              <w:rPr>
                <w:rFonts w:ascii="Arial" w:hAnsi="Arial" w:cs="Arial"/>
                <w:bCs/>
                <w:sz w:val="20"/>
                <w:szCs w:val="20"/>
                <w:highlight w:val="white"/>
              </w:rPr>
            </w:r>
            <w:r>
              <w:rPr>
                <w:rFonts w:ascii="Arial" w:hAnsi="Arial" w:cs="Arial"/>
                <w:bCs/>
                <w:sz w:val="20"/>
                <w:szCs w:val="20"/>
                <w:highlight w:val="white"/>
              </w:rPr>
            </w:r>
          </w:p>
        </w:tc>
        <w:tc>
          <w:tcPr>
            <w:tcW w:w="1951" w:type="dxa"/>
            <w:tcBorders>
              <w:top w:val="single" w:color="auto" w:sz="6" w:space="0"/>
              <w:left w:val="single" w:color="auto" w:sz="6" w:space="0"/>
              <w:bottom w:val="single" w:color="auto" w:sz="6" w:space="0"/>
              <w:right w:val="single" w:color="auto" w:sz="6" w:space="0"/>
            </w:tcBorders>
            <w:noWrap w:val="false"/>
            <w:textDirection w:val="lrTb"/>
            <w:vAlign w:val="center"/>
          </w:tcPr>
          <w:p>
            <w:pPr>
              <w:jc w:val="center"/>
              <w:rPr>
                <w:rFonts w:ascii="Arial" w:hAnsi="Arial" w:cs="Arial"/>
                <w:sz w:val="20"/>
                <w:szCs w:val="20"/>
                <w:highlight w:val="white"/>
              </w:rPr>
            </w:pPr>
            <w:r>
              <w:rPr>
                <w:rFonts w:ascii="Arial" w:hAnsi="Arial" w:cs="Arial"/>
                <w:sz w:val="20"/>
                <w:szCs w:val="20"/>
                <w:highlight w:val="white"/>
              </w:rPr>
              <w:t xml:space="preserve">Кол-во,</w:t>
            </w:r>
            <w:r>
              <w:rPr>
                <w:rFonts w:ascii="Arial" w:hAnsi="Arial" w:cs="Arial"/>
                <w:sz w:val="20"/>
                <w:szCs w:val="20"/>
                <w:highlight w:val="white"/>
              </w:rPr>
            </w:r>
            <w:r>
              <w:rPr>
                <w:rFonts w:ascii="Arial" w:hAnsi="Arial" w:cs="Arial"/>
                <w:sz w:val="20"/>
                <w:szCs w:val="20"/>
                <w:highlight w:val="white"/>
              </w:rPr>
            </w:r>
          </w:p>
          <w:p>
            <w:pPr>
              <w:jc w:val="center"/>
              <w:rPr>
                <w:rFonts w:ascii="Arial" w:hAnsi="Arial" w:cs="Arial"/>
                <w:sz w:val="20"/>
                <w:szCs w:val="20"/>
                <w:highlight w:val="white"/>
              </w:rPr>
            </w:pPr>
            <w:r>
              <w:rPr>
                <w:rFonts w:ascii="Arial" w:hAnsi="Arial" w:cs="Arial"/>
                <w:sz w:val="20"/>
                <w:szCs w:val="20"/>
                <w:highlight w:val="white"/>
              </w:rPr>
              <w:t xml:space="preserve">шт.</w:t>
            </w:r>
            <w:r>
              <w:rPr>
                <w:rFonts w:ascii="Arial" w:hAnsi="Arial" w:cs="Arial"/>
                <w:sz w:val="20"/>
                <w:szCs w:val="20"/>
                <w:highlight w:val="white"/>
              </w:rPr>
            </w:r>
            <w:r>
              <w:rPr>
                <w:rFonts w:ascii="Arial" w:hAnsi="Arial" w:cs="Arial"/>
                <w:sz w:val="20"/>
                <w:szCs w:val="20"/>
                <w:highlight w:val="white"/>
              </w:rPr>
            </w:r>
          </w:p>
        </w:tc>
        <w:tc>
          <w:tcPr>
            <w:tcW w:w="1948" w:type="dxa"/>
            <w:tcBorders>
              <w:top w:val="single" w:color="auto" w:sz="6" w:space="0"/>
              <w:left w:val="single" w:color="auto" w:sz="6" w:space="0"/>
              <w:bottom w:val="single" w:color="auto" w:sz="6" w:space="0"/>
              <w:right w:val="single" w:color="auto" w:sz="6" w:space="0"/>
            </w:tcBorders>
            <w:noWrap w:val="false"/>
            <w:textDirection w:val="lrTb"/>
            <w:vAlign w:val="center"/>
          </w:tcPr>
          <w:p>
            <w:pPr>
              <w:jc w:val="center"/>
              <w:rPr>
                <w:rFonts w:ascii="Arial" w:hAnsi="Arial" w:cs="Arial"/>
                <w:sz w:val="20"/>
                <w:szCs w:val="20"/>
                <w:highlight w:val="white"/>
              </w:rPr>
            </w:pPr>
            <w:r>
              <w:rPr>
                <w:rFonts w:ascii="Arial" w:hAnsi="Arial" w:cs="Arial"/>
                <w:sz w:val="20"/>
                <w:szCs w:val="20"/>
                <w:highlight w:val="white"/>
              </w:rPr>
              <w:t xml:space="preserve">Ежемесячная стоимость, с НДС 20%, руб., коп.</w:t>
            </w:r>
            <w:r>
              <w:rPr>
                <w:rFonts w:ascii="Arial" w:hAnsi="Arial" w:cs="Arial"/>
                <w:sz w:val="20"/>
                <w:szCs w:val="20"/>
                <w:highlight w:val="white"/>
              </w:rPr>
            </w:r>
            <w:r>
              <w:rPr>
                <w:rFonts w:ascii="Arial" w:hAnsi="Arial" w:cs="Arial"/>
                <w:sz w:val="20"/>
                <w:szCs w:val="20"/>
                <w:highlight w:val="white"/>
              </w:rPr>
            </w:r>
          </w:p>
        </w:tc>
      </w:tr>
      <w:tr>
        <w:trPr/>
        <w:tblPrEx/>
        <w:tc>
          <w:tcPr>
            <w:tcW w:w="6605" w:type="dxa"/>
            <w:tcBorders>
              <w:top w:val="single" w:color="auto" w:sz="6" w:space="0"/>
              <w:left w:val="single" w:color="auto" w:sz="6" w:space="0"/>
              <w:bottom w:val="single" w:color="auto" w:sz="6" w:space="0"/>
              <w:right w:val="single" w:color="auto" w:sz="6" w:space="0"/>
            </w:tcBorders>
            <w:noWrap w:val="false"/>
            <w:tcMar>
              <w:left w:w="11" w:type="dxa"/>
              <w:top w:w="11" w:type="dxa"/>
              <w:right w:w="11" w:type="dxa"/>
              <w:bottom w:w="0" w:type="dxa"/>
            </w:tcMar>
            <w:textDirection w:val="lrTb"/>
          </w:tcPr>
          <w:p>
            <w:pPr>
              <w:rPr>
                <w:rFonts w:ascii="Arial" w:hAnsi="Arial" w:cs="Arial"/>
                <w:sz w:val="20"/>
                <w:szCs w:val="20"/>
                <w:highlight w:val="white"/>
              </w:rPr>
            </w:pPr>
            <w:r>
              <w:rPr>
                <w:rFonts w:ascii="Arial" w:hAnsi="Arial" w:cs="Arial"/>
                <w:sz w:val="20"/>
                <w:szCs w:val="20"/>
                <w:highlight w:val="white"/>
              </w:rPr>
              <w:t xml:space="preserve">СПС Консультант Бизнес: Версия Проф</w:t>
            </w:r>
            <w:r>
              <w:rPr>
                <w:rFonts w:ascii="Arial" w:hAnsi="Arial" w:cs="Arial"/>
                <w:sz w:val="20"/>
                <w:szCs w:val="20"/>
                <w:highlight w:val="white"/>
              </w:rPr>
            </w:r>
            <w:r>
              <w:rPr>
                <w:rFonts w:ascii="Arial" w:hAnsi="Arial" w:cs="Arial"/>
                <w:sz w:val="20"/>
                <w:szCs w:val="20"/>
                <w:highlight w:val="white"/>
              </w:rPr>
            </w:r>
          </w:p>
        </w:tc>
        <w:tc>
          <w:tcPr>
            <w:tcW w:w="1951" w:type="dxa"/>
            <w:tcBorders>
              <w:top w:val="single" w:color="auto" w:sz="6" w:space="0"/>
              <w:left w:val="single" w:color="auto" w:sz="6" w:space="0"/>
              <w:bottom w:val="single" w:color="auto" w:sz="6" w:space="0"/>
              <w:right w:val="single" w:color="auto" w:sz="6" w:space="0"/>
            </w:tcBorders>
            <w:noWrap w:val="false"/>
            <w:tcMar>
              <w:left w:w="11" w:type="dxa"/>
              <w:top w:w="11" w:type="dxa"/>
              <w:right w:w="11" w:type="dxa"/>
              <w:bottom w:w="0" w:type="dxa"/>
            </w:tcMar>
            <w:textDirection w:val="lrTb"/>
            <w:vAlign w:val="center"/>
          </w:tcPr>
          <w:p>
            <w:pPr>
              <w:pStyle w:val="909"/>
              <w:ind w:left="-38" w:hanging="1"/>
              <w:contextualSpacing/>
              <w:jc w:val="center"/>
              <w:rPr>
                <w:sz w:val="20"/>
                <w:szCs w:val="20"/>
                <w:highlight w:val="white"/>
              </w:rPr>
            </w:pPr>
            <w:r>
              <w:rPr>
                <w:sz w:val="20"/>
                <w:szCs w:val="20"/>
                <w:highlight w:val="white"/>
              </w:rPr>
              <w:t xml:space="preserve">2</w:t>
            </w:r>
            <w:r>
              <w:rPr>
                <w:sz w:val="20"/>
                <w:szCs w:val="20"/>
                <w:highlight w:val="white"/>
              </w:rPr>
            </w:r>
            <w:r>
              <w:rPr>
                <w:sz w:val="20"/>
                <w:szCs w:val="20"/>
                <w:highlight w:val="white"/>
              </w:rPr>
            </w:r>
          </w:p>
        </w:tc>
        <w:tc>
          <w:tcPr>
            <w:tcW w:w="1948" w:type="dxa"/>
            <w:tcBorders>
              <w:top w:val="single" w:color="auto" w:sz="6" w:space="0"/>
              <w:left w:val="single" w:color="auto" w:sz="6" w:space="0"/>
              <w:bottom w:val="single" w:color="auto" w:sz="6" w:space="0"/>
              <w:right w:val="single" w:color="auto" w:sz="6" w:space="0"/>
            </w:tcBorders>
            <w:noWrap w:val="false"/>
            <w:tcMar>
              <w:left w:w="11" w:type="dxa"/>
              <w:top w:w="11" w:type="dxa"/>
              <w:right w:w="11" w:type="dxa"/>
              <w:bottom w:w="0" w:type="dxa"/>
            </w:tcMar>
            <w:textDirection w:val="lrTb"/>
            <w:vAlign w:val="center"/>
          </w:tcPr>
          <w:p>
            <w:pPr>
              <w:jc w:val="center"/>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tc>
      </w:tr>
      <w:tr>
        <w:trPr/>
        <w:tblPrEx/>
        <w:tc>
          <w:tcPr>
            <w:tcW w:w="6605" w:type="dxa"/>
            <w:tcBorders>
              <w:top w:val="single" w:color="auto" w:sz="6" w:space="0"/>
              <w:left w:val="single" w:color="auto" w:sz="6" w:space="0"/>
              <w:bottom w:val="single" w:color="auto" w:sz="6" w:space="0"/>
              <w:right w:val="single" w:color="auto" w:sz="6" w:space="0"/>
            </w:tcBorders>
            <w:noWrap w:val="false"/>
            <w:tcMar>
              <w:left w:w="11" w:type="dxa"/>
              <w:top w:w="11" w:type="dxa"/>
              <w:right w:w="11" w:type="dxa"/>
              <w:bottom w:w="0" w:type="dxa"/>
            </w:tcMar>
            <w:textDirection w:val="lrTb"/>
          </w:tcPr>
          <w:p>
            <w:pPr>
              <w:rPr>
                <w:rFonts w:ascii="Arial" w:hAnsi="Arial" w:cs="Arial"/>
                <w:sz w:val="20"/>
                <w:szCs w:val="20"/>
                <w:highlight w:val="white"/>
              </w:rPr>
            </w:pPr>
            <w:r>
              <w:rPr>
                <w:rFonts w:ascii="Arial" w:hAnsi="Arial" w:cs="Arial"/>
                <w:sz w:val="20"/>
                <w:szCs w:val="20"/>
                <w:highlight w:val="white"/>
              </w:rPr>
              <w:t xml:space="preserve">СПС КонсультантПлюс: Эксперт-приложение</w:t>
            </w:r>
            <w:r>
              <w:rPr>
                <w:rFonts w:ascii="Arial" w:hAnsi="Arial" w:cs="Arial"/>
                <w:sz w:val="20"/>
                <w:szCs w:val="20"/>
                <w:highlight w:val="white"/>
              </w:rPr>
            </w:r>
            <w:r>
              <w:rPr>
                <w:rFonts w:ascii="Arial" w:hAnsi="Arial" w:cs="Arial"/>
                <w:sz w:val="20"/>
                <w:szCs w:val="20"/>
                <w:highlight w:val="white"/>
              </w:rPr>
            </w:r>
          </w:p>
        </w:tc>
        <w:tc>
          <w:tcPr>
            <w:tcW w:w="1951" w:type="dxa"/>
            <w:tcBorders>
              <w:top w:val="single" w:color="auto" w:sz="6" w:space="0"/>
              <w:left w:val="single" w:color="auto" w:sz="6" w:space="0"/>
              <w:bottom w:val="single" w:color="auto" w:sz="6" w:space="0"/>
              <w:right w:val="single" w:color="auto" w:sz="6" w:space="0"/>
            </w:tcBorders>
            <w:noWrap w:val="false"/>
            <w:tcMar>
              <w:left w:w="11" w:type="dxa"/>
              <w:top w:w="11" w:type="dxa"/>
              <w:right w:w="11" w:type="dxa"/>
              <w:bottom w:w="0" w:type="dxa"/>
            </w:tcMar>
            <w:textDirection w:val="lrTb"/>
            <w:vAlign w:val="center"/>
          </w:tcPr>
          <w:p>
            <w:pPr>
              <w:jc w:val="center"/>
              <w:rPr>
                <w:sz w:val="20"/>
                <w:szCs w:val="20"/>
                <w:highlight w:val="white"/>
              </w:rPr>
            </w:pPr>
            <w:r>
              <w:rPr>
                <w:sz w:val="20"/>
                <w:szCs w:val="20"/>
                <w:highlight w:val="white"/>
              </w:rPr>
            </w:r>
            <w:r>
              <w:rPr>
                <w:sz w:val="20"/>
                <w:szCs w:val="20"/>
                <w:highlight w:val="white"/>
              </w:rPr>
              <w:t xml:space="preserve">2</w:t>
            </w:r>
            <w:r>
              <w:rPr>
                <w:sz w:val="20"/>
                <w:szCs w:val="20"/>
                <w:highlight w:val="white"/>
              </w:rPr>
            </w:r>
            <w:r>
              <w:rPr>
                <w:sz w:val="20"/>
                <w:szCs w:val="20"/>
                <w:highlight w:val="white"/>
              </w:rPr>
            </w:r>
          </w:p>
        </w:tc>
        <w:tc>
          <w:tcPr>
            <w:tcW w:w="1948" w:type="dxa"/>
            <w:tcBorders>
              <w:top w:val="single" w:color="auto" w:sz="6" w:space="0"/>
              <w:left w:val="single" w:color="auto" w:sz="6" w:space="0"/>
              <w:bottom w:val="single" w:color="auto" w:sz="6" w:space="0"/>
              <w:right w:val="single" w:color="auto" w:sz="6" w:space="0"/>
            </w:tcBorders>
            <w:noWrap w:val="false"/>
            <w:tcMar>
              <w:left w:w="11" w:type="dxa"/>
              <w:top w:w="11" w:type="dxa"/>
              <w:right w:w="11" w:type="dxa"/>
              <w:bottom w:w="0" w:type="dxa"/>
            </w:tcMar>
            <w:textDirection w:val="lrTb"/>
            <w:vAlign w:val="center"/>
          </w:tcPr>
          <w:p>
            <w:pPr>
              <w:jc w:val="center"/>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tc>
      </w:tr>
      <w:tr>
        <w:trPr/>
        <w:tblPrEx/>
        <w:tc>
          <w:tcPr>
            <w:tcW w:w="6605" w:type="dxa"/>
            <w:tcBorders>
              <w:top w:val="single" w:color="auto" w:sz="6" w:space="0"/>
              <w:left w:val="single" w:color="auto" w:sz="6" w:space="0"/>
              <w:bottom w:val="single" w:color="auto" w:sz="6" w:space="0"/>
              <w:right w:val="single" w:color="auto" w:sz="6" w:space="0"/>
            </w:tcBorders>
            <w:noWrap w:val="false"/>
            <w:tcMar>
              <w:left w:w="11" w:type="dxa"/>
              <w:top w:w="11" w:type="dxa"/>
              <w:right w:w="11" w:type="dxa"/>
              <w:bottom w:w="0" w:type="dxa"/>
            </w:tcMar>
            <w:textDirection w:val="lrTb"/>
          </w:tcPr>
          <w:p>
            <w:pPr>
              <w:rPr>
                <w:rFonts w:ascii="Arial" w:hAnsi="Arial" w:cs="Arial"/>
                <w:sz w:val="20"/>
                <w:szCs w:val="20"/>
                <w:highlight w:val="white"/>
              </w:rPr>
            </w:pPr>
            <w:r>
              <w:rPr>
                <w:rFonts w:ascii="Arial" w:hAnsi="Arial" w:cs="Arial"/>
                <w:sz w:val="20"/>
                <w:szCs w:val="20"/>
                <w:highlight w:val="white"/>
              </w:rPr>
              <w:t xml:space="preserve">СС КонсультантПлюс: Проекты правовых актов</w:t>
            </w:r>
            <w:r>
              <w:rPr>
                <w:rFonts w:ascii="Arial" w:hAnsi="Arial" w:cs="Arial"/>
                <w:sz w:val="20"/>
                <w:szCs w:val="20"/>
                <w:highlight w:val="white"/>
              </w:rPr>
            </w:r>
            <w:r>
              <w:rPr>
                <w:rFonts w:ascii="Arial" w:hAnsi="Arial" w:cs="Arial"/>
                <w:sz w:val="20"/>
                <w:szCs w:val="20"/>
                <w:highlight w:val="white"/>
              </w:rPr>
            </w:r>
          </w:p>
        </w:tc>
        <w:tc>
          <w:tcPr>
            <w:tcW w:w="1951" w:type="dxa"/>
            <w:tcBorders>
              <w:top w:val="single" w:color="auto" w:sz="6" w:space="0"/>
              <w:left w:val="single" w:color="auto" w:sz="6" w:space="0"/>
              <w:bottom w:val="single" w:color="auto" w:sz="6" w:space="0"/>
              <w:right w:val="single" w:color="auto" w:sz="6" w:space="0"/>
            </w:tcBorders>
            <w:noWrap w:val="false"/>
            <w:tcMar>
              <w:left w:w="11" w:type="dxa"/>
              <w:top w:w="11" w:type="dxa"/>
              <w:right w:w="11" w:type="dxa"/>
              <w:bottom w:w="0" w:type="dxa"/>
            </w:tcMar>
            <w:textDirection w:val="lrTb"/>
            <w:vAlign w:val="center"/>
          </w:tcPr>
          <w:p>
            <w:pPr>
              <w:jc w:val="center"/>
              <w:rPr>
                <w:sz w:val="20"/>
                <w:szCs w:val="20"/>
                <w:highlight w:val="white"/>
              </w:rPr>
            </w:pPr>
            <w:r>
              <w:rPr>
                <w:sz w:val="20"/>
                <w:szCs w:val="20"/>
                <w:highlight w:val="white"/>
              </w:rPr>
            </w:r>
            <w:r>
              <w:rPr>
                <w:sz w:val="20"/>
                <w:szCs w:val="20"/>
                <w:highlight w:val="white"/>
              </w:rPr>
              <w:t xml:space="preserve">1</w:t>
            </w:r>
            <w:r>
              <w:rPr>
                <w:sz w:val="20"/>
                <w:szCs w:val="20"/>
                <w:highlight w:val="white"/>
              </w:rPr>
            </w:r>
            <w:r>
              <w:rPr>
                <w:sz w:val="20"/>
                <w:szCs w:val="20"/>
                <w:highlight w:val="white"/>
              </w:rPr>
            </w:r>
          </w:p>
        </w:tc>
        <w:tc>
          <w:tcPr>
            <w:tcW w:w="1948" w:type="dxa"/>
            <w:tcBorders>
              <w:top w:val="single" w:color="auto" w:sz="6" w:space="0"/>
              <w:left w:val="single" w:color="auto" w:sz="6" w:space="0"/>
              <w:bottom w:val="single" w:color="auto" w:sz="6" w:space="0"/>
              <w:right w:val="single" w:color="auto" w:sz="6" w:space="0"/>
            </w:tcBorders>
            <w:noWrap w:val="false"/>
            <w:tcMar>
              <w:left w:w="11" w:type="dxa"/>
              <w:top w:w="11" w:type="dxa"/>
              <w:right w:w="11" w:type="dxa"/>
              <w:bottom w:w="0" w:type="dxa"/>
            </w:tcMar>
            <w:textDirection w:val="lrTb"/>
            <w:vAlign w:val="center"/>
          </w:tcPr>
          <w:p>
            <w:pPr>
              <w:jc w:val="center"/>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tc>
      </w:tr>
      <w:tr>
        <w:trPr/>
        <w:tblPrEx/>
        <w:tc>
          <w:tcPr>
            <w:tcW w:w="6605" w:type="dxa"/>
            <w:tcBorders>
              <w:top w:val="single" w:color="auto" w:sz="6" w:space="0"/>
              <w:left w:val="single" w:color="auto" w:sz="6" w:space="0"/>
              <w:bottom w:val="single" w:color="auto" w:sz="6" w:space="0"/>
              <w:right w:val="single" w:color="auto" w:sz="6" w:space="0"/>
            </w:tcBorders>
            <w:noWrap w:val="false"/>
            <w:tcMar>
              <w:left w:w="11" w:type="dxa"/>
              <w:top w:w="11" w:type="dxa"/>
              <w:right w:w="11" w:type="dxa"/>
              <w:bottom w:w="0" w:type="dxa"/>
            </w:tcMar>
            <w:textDirection w:val="lrTb"/>
          </w:tcPr>
          <w:p>
            <w:pPr>
              <w:rPr>
                <w:rFonts w:ascii="Arial" w:hAnsi="Arial" w:eastAsia="Arial"/>
                <w:color w:val="000000"/>
                <w:sz w:val="20"/>
                <w:szCs w:val="20"/>
                <w:highlight w:val="white"/>
              </w:rPr>
            </w:pPr>
            <w:r>
              <w:rPr>
                <w:rFonts w:ascii="Arial" w:hAnsi="Arial" w:eastAsia="Arial"/>
                <w:color w:val="000000"/>
                <w:sz w:val="20"/>
                <w:szCs w:val="20"/>
                <w:highlight w:val="white"/>
              </w:rPr>
              <w:t xml:space="preserve">СПС КонсультантПлюс: Международное право</w:t>
            </w:r>
            <w:r>
              <w:rPr>
                <w:rFonts w:ascii="Arial" w:hAnsi="Arial" w:eastAsia="Arial"/>
                <w:color w:val="000000"/>
                <w:sz w:val="20"/>
                <w:szCs w:val="20"/>
                <w:highlight w:val="white"/>
              </w:rPr>
            </w:r>
            <w:r>
              <w:rPr>
                <w:rFonts w:ascii="Arial" w:hAnsi="Arial" w:eastAsia="Arial"/>
                <w:color w:val="000000"/>
                <w:sz w:val="20"/>
                <w:szCs w:val="20"/>
                <w:highlight w:val="white"/>
              </w:rPr>
            </w:r>
          </w:p>
        </w:tc>
        <w:tc>
          <w:tcPr>
            <w:tcW w:w="1951" w:type="dxa"/>
            <w:tcBorders>
              <w:top w:val="single" w:color="auto" w:sz="6" w:space="0"/>
              <w:left w:val="single" w:color="auto" w:sz="6" w:space="0"/>
              <w:bottom w:val="single" w:color="auto" w:sz="6" w:space="0"/>
              <w:right w:val="single" w:color="auto" w:sz="6" w:space="0"/>
            </w:tcBorders>
            <w:noWrap w:val="false"/>
            <w:tcMar>
              <w:left w:w="11" w:type="dxa"/>
              <w:top w:w="11" w:type="dxa"/>
              <w:right w:w="11" w:type="dxa"/>
              <w:bottom w:w="0" w:type="dxa"/>
            </w:tcMar>
            <w:textDirection w:val="lrTb"/>
            <w:vAlign w:val="center"/>
          </w:tcPr>
          <w:p>
            <w:pPr>
              <w:jc w:val="center"/>
              <w:rPr>
                <w:sz w:val="20"/>
                <w:szCs w:val="20"/>
                <w:highlight w:val="white"/>
              </w:rPr>
            </w:pPr>
            <w:r>
              <w:rPr>
                <w:sz w:val="20"/>
                <w:szCs w:val="20"/>
                <w:highlight w:val="white"/>
              </w:rPr>
              <w:t xml:space="preserve">2</w:t>
            </w:r>
            <w:r>
              <w:rPr>
                <w:sz w:val="20"/>
                <w:szCs w:val="20"/>
                <w:highlight w:val="white"/>
              </w:rPr>
            </w:r>
            <w:r>
              <w:rPr>
                <w:sz w:val="20"/>
                <w:szCs w:val="20"/>
                <w:highlight w:val="white"/>
              </w:rPr>
            </w:r>
          </w:p>
        </w:tc>
        <w:tc>
          <w:tcPr>
            <w:tcW w:w="1948" w:type="dxa"/>
            <w:tcBorders>
              <w:top w:val="single" w:color="auto" w:sz="6" w:space="0"/>
              <w:left w:val="single" w:color="auto" w:sz="6" w:space="0"/>
              <w:bottom w:val="single" w:color="auto" w:sz="6" w:space="0"/>
              <w:right w:val="single" w:color="auto" w:sz="6" w:space="0"/>
            </w:tcBorders>
            <w:noWrap w:val="false"/>
            <w:tcMar>
              <w:left w:w="11" w:type="dxa"/>
              <w:top w:w="11" w:type="dxa"/>
              <w:right w:w="11" w:type="dxa"/>
              <w:bottom w:w="0" w:type="dxa"/>
            </w:tcMar>
            <w:textDirection w:val="lrTb"/>
            <w:vAlign w:val="center"/>
          </w:tcPr>
          <w:p>
            <w:pPr>
              <w:jc w:val="center"/>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tc>
      </w:tr>
      <w:tr>
        <w:trPr/>
        <w:tblPrEx/>
        <w:tc>
          <w:tcPr>
            <w:tcW w:w="6605" w:type="dxa"/>
            <w:tcBorders>
              <w:top w:val="single" w:color="auto" w:sz="6" w:space="0"/>
              <w:left w:val="single" w:color="auto" w:sz="6" w:space="0"/>
              <w:bottom w:val="single" w:color="auto" w:sz="6" w:space="0"/>
              <w:right w:val="single" w:color="auto" w:sz="6" w:space="0"/>
            </w:tcBorders>
            <w:noWrap w:val="false"/>
            <w:tcMar>
              <w:left w:w="11" w:type="dxa"/>
              <w:top w:w="11" w:type="dxa"/>
              <w:right w:w="11" w:type="dxa"/>
              <w:bottom w:w="0" w:type="dxa"/>
            </w:tcMar>
            <w:textDirection w:val="lrTb"/>
          </w:tcPr>
          <w:p>
            <w:pPr>
              <w:tabs>
                <w:tab w:val="left" w:pos="1289" w:leader="none"/>
              </w:tabs>
              <w:rPr>
                <w:rFonts w:ascii="Arial" w:hAnsi="Arial" w:eastAsia="Arial"/>
                <w:color w:val="000000"/>
                <w:sz w:val="20"/>
                <w:szCs w:val="20"/>
                <w:highlight w:val="white"/>
              </w:rPr>
            </w:pPr>
            <w:r>
              <w:rPr>
                <w:rFonts w:ascii="Segoe UI" w:hAnsi="Segoe UI" w:eastAsia="Segoe UI"/>
                <w:color w:val="000000"/>
                <w:sz w:val="20"/>
                <w:szCs w:val="20"/>
                <w:highlight w:val="white"/>
              </w:rPr>
              <w:t xml:space="preserve">СПС КонсультантПлюс: Документы СССР</w:t>
            </w:r>
            <w:r>
              <w:rPr>
                <w:rFonts w:ascii="Arial" w:hAnsi="Arial" w:eastAsia="Arial"/>
                <w:color w:val="000000"/>
                <w:sz w:val="20"/>
                <w:szCs w:val="20"/>
                <w:highlight w:val="white"/>
              </w:rPr>
            </w:r>
            <w:r>
              <w:rPr>
                <w:rFonts w:ascii="Arial" w:hAnsi="Arial" w:eastAsia="Arial"/>
                <w:color w:val="000000"/>
                <w:sz w:val="20"/>
                <w:szCs w:val="20"/>
                <w:highlight w:val="white"/>
              </w:rPr>
            </w:r>
          </w:p>
        </w:tc>
        <w:tc>
          <w:tcPr>
            <w:tcW w:w="1951" w:type="dxa"/>
            <w:tcBorders>
              <w:top w:val="single" w:color="auto" w:sz="6" w:space="0"/>
              <w:left w:val="single" w:color="auto" w:sz="6" w:space="0"/>
              <w:bottom w:val="single" w:color="auto" w:sz="6" w:space="0"/>
              <w:right w:val="single" w:color="auto" w:sz="6" w:space="0"/>
            </w:tcBorders>
            <w:noWrap w:val="false"/>
            <w:tcMar>
              <w:left w:w="11" w:type="dxa"/>
              <w:top w:w="11" w:type="dxa"/>
              <w:right w:w="11" w:type="dxa"/>
              <w:bottom w:w="0" w:type="dxa"/>
            </w:tcMar>
            <w:textDirection w:val="lrTb"/>
            <w:vAlign w:val="center"/>
          </w:tcPr>
          <w:p>
            <w:pPr>
              <w:jc w:val="center"/>
              <w:rPr>
                <w:sz w:val="20"/>
                <w:szCs w:val="20"/>
                <w:highlight w:val="white"/>
              </w:rPr>
            </w:pPr>
            <w:r>
              <w:rPr>
                <w:sz w:val="20"/>
                <w:szCs w:val="20"/>
                <w:highlight w:val="white"/>
              </w:rPr>
              <w:t xml:space="preserve">1</w:t>
            </w:r>
            <w:r>
              <w:rPr>
                <w:sz w:val="20"/>
                <w:szCs w:val="20"/>
                <w:highlight w:val="white"/>
              </w:rPr>
            </w:r>
            <w:r>
              <w:rPr>
                <w:sz w:val="20"/>
                <w:szCs w:val="20"/>
                <w:highlight w:val="white"/>
              </w:rPr>
            </w:r>
          </w:p>
        </w:tc>
        <w:tc>
          <w:tcPr>
            <w:tcW w:w="1948" w:type="dxa"/>
            <w:tcBorders>
              <w:top w:val="single" w:color="auto" w:sz="6" w:space="0"/>
              <w:left w:val="single" w:color="auto" w:sz="6" w:space="0"/>
              <w:bottom w:val="single" w:color="auto" w:sz="6" w:space="0"/>
              <w:right w:val="single" w:color="auto" w:sz="6" w:space="0"/>
            </w:tcBorders>
            <w:noWrap w:val="false"/>
            <w:tcMar>
              <w:left w:w="11" w:type="dxa"/>
              <w:top w:w="11" w:type="dxa"/>
              <w:right w:w="11" w:type="dxa"/>
              <w:bottom w:w="0" w:type="dxa"/>
            </w:tcMar>
            <w:textDirection w:val="lrTb"/>
            <w:vAlign w:val="center"/>
          </w:tcPr>
          <w:p>
            <w:pPr>
              <w:jc w:val="center"/>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tc>
      </w:tr>
      <w:tr>
        <w:trPr/>
        <w:tblPrEx/>
        <w:tc>
          <w:tcPr>
            <w:tcW w:w="6605" w:type="dxa"/>
            <w:tcBorders>
              <w:top w:val="single" w:color="auto" w:sz="6" w:space="0"/>
              <w:left w:val="single" w:color="auto" w:sz="6" w:space="0"/>
              <w:bottom w:val="single" w:color="auto" w:sz="6" w:space="0"/>
              <w:right w:val="single" w:color="auto" w:sz="6" w:space="0"/>
            </w:tcBorders>
            <w:noWrap w:val="false"/>
            <w:tcMar>
              <w:left w:w="11" w:type="dxa"/>
              <w:top w:w="11" w:type="dxa"/>
              <w:right w:w="11" w:type="dxa"/>
              <w:bottom w:w="0" w:type="dxa"/>
            </w:tcMar>
            <w:textDirection w:val="lrTb"/>
          </w:tcPr>
          <w:p>
            <w:pPr>
              <w:rPr>
                <w:rFonts w:ascii="Arial" w:hAnsi="Arial" w:cs="Arial"/>
                <w:sz w:val="20"/>
                <w:szCs w:val="20"/>
                <w:highlight w:val="white"/>
              </w:rPr>
            </w:pPr>
            <w:r>
              <w:rPr>
                <w:rFonts w:ascii="Arial" w:hAnsi="Arial" w:cs="Arial"/>
                <w:sz w:val="20"/>
                <w:szCs w:val="20"/>
                <w:highlight w:val="white"/>
              </w:rPr>
              <w:t xml:space="preserve">СПС КонсультантПлюс: Москва Проф</w:t>
            </w:r>
            <w:r>
              <w:rPr>
                <w:rFonts w:ascii="Arial" w:hAnsi="Arial" w:cs="Arial"/>
                <w:sz w:val="20"/>
                <w:szCs w:val="20"/>
                <w:highlight w:val="white"/>
              </w:rPr>
            </w:r>
            <w:r>
              <w:rPr>
                <w:rFonts w:ascii="Arial" w:hAnsi="Arial" w:cs="Arial"/>
                <w:sz w:val="20"/>
                <w:szCs w:val="20"/>
                <w:highlight w:val="white"/>
              </w:rPr>
            </w:r>
          </w:p>
        </w:tc>
        <w:tc>
          <w:tcPr>
            <w:tcW w:w="1951" w:type="dxa"/>
            <w:tcBorders>
              <w:top w:val="single" w:color="auto" w:sz="6" w:space="0"/>
              <w:left w:val="single" w:color="auto" w:sz="6" w:space="0"/>
              <w:bottom w:val="single" w:color="auto" w:sz="6" w:space="0"/>
              <w:right w:val="single" w:color="auto" w:sz="6" w:space="0"/>
            </w:tcBorders>
            <w:noWrap w:val="false"/>
            <w:tcMar>
              <w:left w:w="11" w:type="dxa"/>
              <w:top w:w="11" w:type="dxa"/>
              <w:right w:w="11" w:type="dxa"/>
              <w:bottom w:w="0" w:type="dxa"/>
            </w:tcMar>
            <w:textDirection w:val="lrTb"/>
            <w:vAlign w:val="center"/>
          </w:tcPr>
          <w:p>
            <w:pPr>
              <w:jc w:val="center"/>
              <w:rPr>
                <w:sz w:val="20"/>
                <w:szCs w:val="20"/>
                <w:highlight w:val="white"/>
              </w:rPr>
            </w:pPr>
            <w:r>
              <w:rPr>
                <w:sz w:val="20"/>
                <w:szCs w:val="20"/>
                <w:highlight w:val="white"/>
              </w:rPr>
              <w:t xml:space="preserve">2</w:t>
            </w:r>
            <w:r>
              <w:rPr>
                <w:sz w:val="20"/>
                <w:szCs w:val="20"/>
                <w:highlight w:val="white"/>
              </w:rPr>
            </w:r>
            <w:r>
              <w:rPr>
                <w:sz w:val="20"/>
                <w:szCs w:val="20"/>
                <w:highlight w:val="white"/>
              </w:rPr>
            </w:r>
          </w:p>
        </w:tc>
        <w:tc>
          <w:tcPr>
            <w:tcW w:w="1948" w:type="dxa"/>
            <w:tcBorders>
              <w:top w:val="single" w:color="auto" w:sz="6" w:space="0"/>
              <w:left w:val="single" w:color="auto" w:sz="6" w:space="0"/>
              <w:bottom w:val="single" w:color="auto" w:sz="6" w:space="0"/>
              <w:right w:val="single" w:color="auto" w:sz="6" w:space="0"/>
            </w:tcBorders>
            <w:noWrap w:val="false"/>
            <w:tcMar>
              <w:left w:w="11" w:type="dxa"/>
              <w:top w:w="11" w:type="dxa"/>
              <w:right w:w="11" w:type="dxa"/>
              <w:bottom w:w="0" w:type="dxa"/>
            </w:tcMar>
            <w:textDirection w:val="lrTb"/>
            <w:vAlign w:val="center"/>
          </w:tcPr>
          <w:p>
            <w:pPr>
              <w:jc w:val="center"/>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tc>
      </w:tr>
      <w:tr>
        <w:trPr/>
        <w:tblPrEx/>
        <w:tc>
          <w:tcPr>
            <w:tcW w:w="6605" w:type="dxa"/>
            <w:tcBorders>
              <w:top w:val="single" w:color="auto" w:sz="6" w:space="0"/>
              <w:left w:val="single" w:color="auto" w:sz="6" w:space="0"/>
              <w:bottom w:val="single" w:color="auto" w:sz="6" w:space="0"/>
              <w:right w:val="single" w:color="auto" w:sz="6" w:space="0"/>
            </w:tcBorders>
            <w:noWrap w:val="false"/>
            <w:tcMar>
              <w:left w:w="11" w:type="dxa"/>
              <w:top w:w="11" w:type="dxa"/>
              <w:right w:w="11" w:type="dxa"/>
              <w:bottom w:w="0" w:type="dxa"/>
            </w:tcMar>
            <w:textDirection w:val="lrTb"/>
          </w:tcPr>
          <w:p>
            <w:pPr>
              <w:rPr>
                <w:rFonts w:ascii="Arial" w:hAnsi="Arial" w:cs="Arial"/>
                <w:sz w:val="20"/>
                <w:szCs w:val="20"/>
                <w:highlight w:val="white"/>
              </w:rPr>
            </w:pPr>
            <w:r>
              <w:rPr>
                <w:rFonts w:ascii="Arial" w:hAnsi="Arial" w:cs="Arial"/>
                <w:sz w:val="20"/>
                <w:szCs w:val="20"/>
                <w:highlight w:val="white"/>
              </w:rPr>
              <w:t xml:space="preserve">СПС КонсультантПлюс: Московская область</w:t>
            </w:r>
            <w:r>
              <w:rPr>
                <w:rFonts w:ascii="Arial" w:hAnsi="Arial" w:cs="Arial"/>
                <w:sz w:val="20"/>
                <w:szCs w:val="20"/>
                <w:highlight w:val="white"/>
              </w:rPr>
            </w:r>
            <w:r>
              <w:rPr>
                <w:rFonts w:ascii="Arial" w:hAnsi="Arial" w:cs="Arial"/>
                <w:sz w:val="20"/>
                <w:szCs w:val="20"/>
                <w:highlight w:val="white"/>
              </w:rPr>
            </w:r>
          </w:p>
        </w:tc>
        <w:tc>
          <w:tcPr>
            <w:tcW w:w="1951" w:type="dxa"/>
            <w:tcBorders>
              <w:top w:val="single" w:color="auto" w:sz="6" w:space="0"/>
              <w:left w:val="single" w:color="auto" w:sz="6" w:space="0"/>
              <w:bottom w:val="single" w:color="auto" w:sz="6" w:space="0"/>
              <w:right w:val="single" w:color="auto" w:sz="6" w:space="0"/>
            </w:tcBorders>
            <w:noWrap w:val="false"/>
            <w:tcMar>
              <w:left w:w="11" w:type="dxa"/>
              <w:top w:w="11" w:type="dxa"/>
              <w:right w:w="11" w:type="dxa"/>
              <w:bottom w:w="0" w:type="dxa"/>
            </w:tcMar>
            <w:textDirection w:val="lrTb"/>
            <w:vAlign w:val="center"/>
          </w:tcPr>
          <w:p>
            <w:pPr>
              <w:jc w:val="center"/>
              <w:rPr>
                <w:sz w:val="20"/>
                <w:szCs w:val="20"/>
                <w:highlight w:val="white"/>
              </w:rPr>
            </w:pPr>
            <w:r>
              <w:rPr>
                <w:sz w:val="20"/>
                <w:szCs w:val="20"/>
                <w:highlight w:val="white"/>
              </w:rPr>
              <w:t xml:space="preserve">2</w:t>
            </w:r>
            <w:r>
              <w:rPr>
                <w:sz w:val="20"/>
                <w:szCs w:val="20"/>
                <w:highlight w:val="white"/>
              </w:rPr>
            </w:r>
            <w:r>
              <w:rPr>
                <w:sz w:val="20"/>
                <w:szCs w:val="20"/>
                <w:highlight w:val="white"/>
              </w:rPr>
            </w:r>
          </w:p>
        </w:tc>
        <w:tc>
          <w:tcPr>
            <w:tcW w:w="1948" w:type="dxa"/>
            <w:tcBorders>
              <w:top w:val="single" w:color="auto" w:sz="6" w:space="0"/>
              <w:left w:val="single" w:color="auto" w:sz="6" w:space="0"/>
              <w:bottom w:val="single" w:color="auto" w:sz="6" w:space="0"/>
              <w:right w:val="single" w:color="auto" w:sz="6" w:space="0"/>
            </w:tcBorders>
            <w:noWrap w:val="false"/>
            <w:tcMar>
              <w:left w:w="11" w:type="dxa"/>
              <w:top w:w="11" w:type="dxa"/>
              <w:right w:w="11" w:type="dxa"/>
              <w:bottom w:w="0" w:type="dxa"/>
            </w:tcMar>
            <w:textDirection w:val="lrTb"/>
            <w:vAlign w:val="center"/>
          </w:tcPr>
          <w:p>
            <w:pPr>
              <w:jc w:val="center"/>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tc>
      </w:tr>
      <w:tr>
        <w:trPr/>
        <w:tblPrEx/>
        <w:tc>
          <w:tcPr>
            <w:tcW w:w="6605" w:type="dxa"/>
            <w:tcBorders>
              <w:top w:val="single" w:color="auto" w:sz="6" w:space="0"/>
              <w:left w:val="single" w:color="auto" w:sz="6" w:space="0"/>
              <w:bottom w:val="single" w:color="auto" w:sz="6" w:space="0"/>
              <w:right w:val="single" w:color="auto" w:sz="6" w:space="0"/>
            </w:tcBorders>
            <w:noWrap w:val="false"/>
            <w:tcMar>
              <w:left w:w="11" w:type="dxa"/>
              <w:top w:w="11" w:type="dxa"/>
              <w:right w:w="11" w:type="dxa"/>
              <w:bottom w:w="0" w:type="dxa"/>
            </w:tcMar>
            <w:textDirection w:val="lrTb"/>
          </w:tcPr>
          <w:p>
            <w:pPr>
              <w:rPr>
                <w:rFonts w:ascii="Arial" w:hAnsi="Arial" w:eastAsia="Arial"/>
                <w:color w:val="000000"/>
                <w:sz w:val="20"/>
                <w:szCs w:val="20"/>
                <w:highlight w:val="white"/>
              </w:rPr>
            </w:pPr>
            <w:r>
              <w:rPr>
                <w:rFonts w:ascii="Arial" w:hAnsi="Arial" w:eastAsia="Arial"/>
                <w:color w:val="000000"/>
                <w:sz w:val="20"/>
                <w:szCs w:val="20"/>
                <w:highlight w:val="white"/>
              </w:rPr>
              <w:t xml:space="preserve">СПС КонсультантПлюс: Сводное региональное законодательство</w:t>
            </w:r>
            <w:r>
              <w:rPr>
                <w:rFonts w:ascii="Arial" w:hAnsi="Arial" w:eastAsia="Arial"/>
                <w:color w:val="000000"/>
                <w:sz w:val="20"/>
                <w:szCs w:val="20"/>
                <w:highlight w:val="white"/>
              </w:rPr>
            </w:r>
            <w:r>
              <w:rPr>
                <w:rFonts w:ascii="Arial" w:hAnsi="Arial" w:eastAsia="Arial"/>
                <w:color w:val="000000"/>
                <w:sz w:val="20"/>
                <w:szCs w:val="20"/>
                <w:highlight w:val="white"/>
              </w:rPr>
            </w:r>
          </w:p>
        </w:tc>
        <w:tc>
          <w:tcPr>
            <w:tcW w:w="1951" w:type="dxa"/>
            <w:tcBorders>
              <w:top w:val="single" w:color="auto" w:sz="6" w:space="0"/>
              <w:left w:val="single" w:color="auto" w:sz="6" w:space="0"/>
              <w:bottom w:val="single" w:color="auto" w:sz="6" w:space="0"/>
              <w:right w:val="single" w:color="auto" w:sz="6" w:space="0"/>
            </w:tcBorders>
            <w:noWrap w:val="false"/>
            <w:tcMar>
              <w:left w:w="11" w:type="dxa"/>
              <w:top w:w="11" w:type="dxa"/>
              <w:right w:w="11" w:type="dxa"/>
              <w:bottom w:w="0" w:type="dxa"/>
            </w:tcMar>
            <w:textDirection w:val="lrTb"/>
            <w:vAlign w:val="center"/>
          </w:tcPr>
          <w:p>
            <w:pPr>
              <w:jc w:val="center"/>
              <w:rPr>
                <w:sz w:val="20"/>
                <w:szCs w:val="20"/>
                <w:highlight w:val="white"/>
              </w:rPr>
            </w:pPr>
            <w:r>
              <w:rPr>
                <w:sz w:val="20"/>
                <w:szCs w:val="20"/>
                <w:highlight w:val="white"/>
              </w:rPr>
              <w:t xml:space="preserve">2</w:t>
            </w:r>
            <w:r>
              <w:rPr>
                <w:sz w:val="20"/>
                <w:szCs w:val="20"/>
                <w:highlight w:val="white"/>
              </w:rPr>
            </w:r>
            <w:r>
              <w:rPr>
                <w:sz w:val="20"/>
                <w:szCs w:val="20"/>
                <w:highlight w:val="white"/>
              </w:rPr>
            </w:r>
          </w:p>
        </w:tc>
        <w:tc>
          <w:tcPr>
            <w:tcW w:w="1948" w:type="dxa"/>
            <w:tcBorders>
              <w:top w:val="single" w:color="auto" w:sz="6" w:space="0"/>
              <w:left w:val="single" w:color="auto" w:sz="6" w:space="0"/>
              <w:bottom w:val="single" w:color="auto" w:sz="6" w:space="0"/>
              <w:right w:val="single" w:color="auto" w:sz="6" w:space="0"/>
            </w:tcBorders>
            <w:noWrap w:val="false"/>
            <w:tcMar>
              <w:left w:w="11" w:type="dxa"/>
              <w:top w:w="11" w:type="dxa"/>
              <w:right w:w="11" w:type="dxa"/>
              <w:bottom w:w="0" w:type="dxa"/>
            </w:tcMar>
            <w:textDirection w:val="lrTb"/>
            <w:vAlign w:val="center"/>
          </w:tcPr>
          <w:p>
            <w:pPr>
              <w:jc w:val="center"/>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tc>
      </w:tr>
      <w:tr>
        <w:trPr/>
        <w:tblPrEx/>
        <w:tc>
          <w:tcPr>
            <w:tcW w:w="6605" w:type="dxa"/>
            <w:tcBorders>
              <w:top w:val="single" w:color="auto" w:sz="6" w:space="0"/>
              <w:left w:val="single" w:color="auto" w:sz="6" w:space="0"/>
              <w:bottom w:val="single" w:color="auto" w:sz="6" w:space="0"/>
              <w:right w:val="single" w:color="auto" w:sz="6" w:space="0"/>
            </w:tcBorders>
            <w:noWrap w:val="false"/>
            <w:tcMar>
              <w:left w:w="11" w:type="dxa"/>
              <w:top w:w="11" w:type="dxa"/>
              <w:right w:w="11" w:type="dxa"/>
              <w:bottom w:w="0" w:type="dxa"/>
            </w:tcMar>
            <w:textDirection w:val="lrTb"/>
          </w:tcPr>
          <w:p>
            <w:pPr>
              <w:rPr>
                <w:rFonts w:ascii="Arial" w:hAnsi="Arial" w:cs="Arial"/>
                <w:sz w:val="20"/>
                <w:szCs w:val="20"/>
                <w:highlight w:val="white"/>
              </w:rPr>
            </w:pPr>
            <w:r>
              <w:rPr>
                <w:rFonts w:ascii="Arial" w:hAnsi="Arial" w:cs="Arial"/>
                <w:sz w:val="20"/>
                <w:szCs w:val="20"/>
                <w:highlight w:val="white"/>
              </w:rPr>
              <w:t xml:space="preserve">СС КонсультантБухгалтер: Корреспонденция счетов</w:t>
            </w:r>
            <w:r>
              <w:rPr>
                <w:rFonts w:ascii="Arial" w:hAnsi="Arial" w:cs="Arial"/>
                <w:sz w:val="20"/>
                <w:szCs w:val="20"/>
                <w:highlight w:val="white"/>
              </w:rPr>
            </w:r>
            <w:r>
              <w:rPr>
                <w:rFonts w:ascii="Arial" w:hAnsi="Arial" w:cs="Arial"/>
                <w:sz w:val="20"/>
                <w:szCs w:val="20"/>
                <w:highlight w:val="white"/>
              </w:rPr>
            </w:r>
          </w:p>
        </w:tc>
        <w:tc>
          <w:tcPr>
            <w:tcW w:w="1951" w:type="dxa"/>
            <w:tcBorders>
              <w:top w:val="single" w:color="auto" w:sz="6" w:space="0"/>
              <w:left w:val="single" w:color="auto" w:sz="6" w:space="0"/>
              <w:bottom w:val="single" w:color="auto" w:sz="6" w:space="0"/>
              <w:right w:val="single" w:color="auto" w:sz="6" w:space="0"/>
            </w:tcBorders>
            <w:noWrap w:val="false"/>
            <w:tcMar>
              <w:left w:w="11" w:type="dxa"/>
              <w:top w:w="11" w:type="dxa"/>
              <w:right w:w="11" w:type="dxa"/>
              <w:bottom w:w="0" w:type="dxa"/>
            </w:tcMar>
            <w:textDirection w:val="lrTb"/>
            <w:vAlign w:val="center"/>
          </w:tcPr>
          <w:p>
            <w:pPr>
              <w:jc w:val="center"/>
              <w:rPr>
                <w:sz w:val="20"/>
                <w:szCs w:val="20"/>
                <w:highlight w:val="white"/>
              </w:rPr>
            </w:pPr>
            <w:r>
              <w:rPr>
                <w:sz w:val="20"/>
                <w:szCs w:val="20"/>
                <w:highlight w:val="white"/>
              </w:rPr>
              <w:t xml:space="preserve">2</w:t>
            </w:r>
            <w:r>
              <w:rPr>
                <w:sz w:val="20"/>
                <w:szCs w:val="20"/>
                <w:highlight w:val="white"/>
              </w:rPr>
            </w:r>
            <w:r>
              <w:rPr>
                <w:sz w:val="20"/>
                <w:szCs w:val="20"/>
                <w:highlight w:val="white"/>
              </w:rPr>
            </w:r>
          </w:p>
        </w:tc>
        <w:tc>
          <w:tcPr>
            <w:tcW w:w="1948" w:type="dxa"/>
            <w:tcBorders>
              <w:top w:val="single" w:color="auto" w:sz="6" w:space="0"/>
              <w:left w:val="single" w:color="auto" w:sz="6" w:space="0"/>
              <w:bottom w:val="single" w:color="auto" w:sz="6" w:space="0"/>
              <w:right w:val="single" w:color="auto" w:sz="6" w:space="0"/>
            </w:tcBorders>
            <w:noWrap w:val="false"/>
            <w:tcMar>
              <w:left w:w="11" w:type="dxa"/>
              <w:top w:w="11" w:type="dxa"/>
              <w:right w:w="11" w:type="dxa"/>
              <w:bottom w:w="0" w:type="dxa"/>
            </w:tcMar>
            <w:textDirection w:val="lrTb"/>
            <w:vAlign w:val="center"/>
          </w:tcPr>
          <w:p>
            <w:pPr>
              <w:jc w:val="center"/>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tc>
      </w:tr>
      <w:tr>
        <w:trPr/>
        <w:tblPrEx/>
        <w:tc>
          <w:tcPr>
            <w:tcW w:w="6605" w:type="dxa"/>
            <w:tcBorders>
              <w:top w:val="single" w:color="auto" w:sz="6" w:space="0"/>
              <w:left w:val="single" w:color="auto" w:sz="6" w:space="0"/>
              <w:bottom w:val="single" w:color="auto" w:sz="6" w:space="0"/>
              <w:right w:val="single" w:color="auto" w:sz="6" w:space="0"/>
            </w:tcBorders>
            <w:noWrap w:val="false"/>
            <w:tcMar>
              <w:left w:w="11" w:type="dxa"/>
              <w:top w:w="11" w:type="dxa"/>
              <w:right w:w="11" w:type="dxa"/>
              <w:bottom w:w="0" w:type="dxa"/>
            </w:tcMar>
            <w:textDirection w:val="lrTb"/>
          </w:tcPr>
          <w:p>
            <w:pPr>
              <w:rPr>
                <w:rFonts w:ascii="Arial" w:hAnsi="Arial" w:cs="Arial"/>
                <w:sz w:val="20"/>
                <w:szCs w:val="20"/>
                <w:highlight w:val="white"/>
              </w:rPr>
            </w:pPr>
            <w:r>
              <w:rPr>
                <w:rFonts w:ascii="Arial" w:hAnsi="Arial" w:cs="Arial"/>
                <w:sz w:val="20"/>
                <w:szCs w:val="20"/>
                <w:highlight w:val="white"/>
              </w:rPr>
              <w:t xml:space="preserve">СС КонсультантАрбитраж: Арбитражные суды всех округов</w:t>
            </w:r>
            <w:r>
              <w:rPr>
                <w:rFonts w:ascii="Arial" w:hAnsi="Arial" w:cs="Arial"/>
                <w:sz w:val="20"/>
                <w:szCs w:val="20"/>
                <w:highlight w:val="white"/>
              </w:rPr>
            </w:r>
            <w:r>
              <w:rPr>
                <w:rFonts w:ascii="Arial" w:hAnsi="Arial" w:cs="Arial"/>
                <w:sz w:val="20"/>
                <w:szCs w:val="20"/>
                <w:highlight w:val="white"/>
              </w:rPr>
            </w:r>
          </w:p>
        </w:tc>
        <w:tc>
          <w:tcPr>
            <w:tcW w:w="1951" w:type="dxa"/>
            <w:tcBorders>
              <w:top w:val="single" w:color="auto" w:sz="6" w:space="0"/>
              <w:left w:val="single" w:color="auto" w:sz="6" w:space="0"/>
              <w:bottom w:val="single" w:color="auto" w:sz="6" w:space="0"/>
              <w:right w:val="single" w:color="auto" w:sz="6" w:space="0"/>
            </w:tcBorders>
            <w:noWrap w:val="false"/>
            <w:tcMar>
              <w:left w:w="11" w:type="dxa"/>
              <w:top w:w="11" w:type="dxa"/>
              <w:right w:w="11" w:type="dxa"/>
              <w:bottom w:w="0" w:type="dxa"/>
            </w:tcMar>
            <w:textDirection w:val="lrTb"/>
            <w:vAlign w:val="center"/>
          </w:tcPr>
          <w:p>
            <w:pPr>
              <w:jc w:val="center"/>
              <w:rPr>
                <w:sz w:val="20"/>
                <w:szCs w:val="20"/>
                <w:highlight w:val="white"/>
              </w:rPr>
            </w:pPr>
            <w:r>
              <w:rPr>
                <w:sz w:val="20"/>
                <w:szCs w:val="20"/>
                <w:highlight w:val="white"/>
              </w:rPr>
              <w:t xml:space="preserve">1</w:t>
            </w:r>
            <w:r>
              <w:rPr>
                <w:sz w:val="20"/>
                <w:szCs w:val="20"/>
                <w:highlight w:val="white"/>
              </w:rPr>
            </w:r>
            <w:r>
              <w:rPr>
                <w:sz w:val="20"/>
                <w:szCs w:val="20"/>
                <w:highlight w:val="white"/>
              </w:rPr>
            </w:r>
          </w:p>
        </w:tc>
        <w:tc>
          <w:tcPr>
            <w:tcW w:w="1948" w:type="dxa"/>
            <w:tcBorders>
              <w:top w:val="single" w:color="auto" w:sz="6" w:space="0"/>
              <w:left w:val="single" w:color="auto" w:sz="6" w:space="0"/>
              <w:bottom w:val="single" w:color="auto" w:sz="6" w:space="0"/>
              <w:right w:val="single" w:color="auto" w:sz="6" w:space="0"/>
            </w:tcBorders>
            <w:noWrap w:val="false"/>
            <w:tcMar>
              <w:left w:w="11" w:type="dxa"/>
              <w:top w:w="11" w:type="dxa"/>
              <w:right w:w="11" w:type="dxa"/>
              <w:bottom w:w="0" w:type="dxa"/>
            </w:tcMar>
            <w:textDirection w:val="lrTb"/>
            <w:vAlign w:val="center"/>
          </w:tcPr>
          <w:p>
            <w:pPr>
              <w:jc w:val="center"/>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tc>
      </w:tr>
      <w:tr>
        <w:trPr/>
        <w:tblPrEx/>
        <w:tc>
          <w:tcPr>
            <w:tcW w:w="6605" w:type="dxa"/>
            <w:tcBorders>
              <w:top w:val="single" w:color="auto" w:sz="6" w:space="0"/>
              <w:left w:val="single" w:color="auto" w:sz="6" w:space="0"/>
              <w:bottom w:val="single" w:color="auto" w:sz="6" w:space="0"/>
              <w:right w:val="single" w:color="auto" w:sz="6" w:space="0"/>
            </w:tcBorders>
            <w:noWrap w:val="false"/>
            <w:tcMar>
              <w:left w:w="11" w:type="dxa"/>
              <w:top w:w="11" w:type="dxa"/>
              <w:right w:w="11" w:type="dxa"/>
              <w:bottom w:w="0" w:type="dxa"/>
            </w:tcMar>
            <w:textDirection w:val="lrTb"/>
          </w:tcPr>
          <w:p>
            <w:pPr>
              <w:rPr>
                <w:rFonts w:ascii="Arial" w:hAnsi="Arial" w:cs="Arial"/>
                <w:sz w:val="20"/>
                <w:szCs w:val="20"/>
                <w:highlight w:val="white"/>
              </w:rPr>
            </w:pPr>
            <w:r>
              <w:rPr>
                <w:rFonts w:ascii="Arial" w:hAnsi="Arial" w:cs="Arial"/>
                <w:sz w:val="20"/>
                <w:szCs w:val="20"/>
                <w:highlight w:val="white"/>
              </w:rPr>
              <w:t xml:space="preserve">СС КонсультантАрбитраж: Все апелляционные суды</w:t>
            </w:r>
            <w:r>
              <w:rPr>
                <w:rFonts w:ascii="Arial" w:hAnsi="Arial" w:cs="Arial"/>
                <w:sz w:val="20"/>
                <w:szCs w:val="20"/>
                <w:highlight w:val="white"/>
              </w:rPr>
            </w:r>
            <w:r>
              <w:rPr>
                <w:rFonts w:ascii="Arial" w:hAnsi="Arial" w:cs="Arial"/>
                <w:sz w:val="20"/>
                <w:szCs w:val="20"/>
                <w:highlight w:val="white"/>
              </w:rPr>
            </w:r>
          </w:p>
        </w:tc>
        <w:tc>
          <w:tcPr>
            <w:tcW w:w="1951" w:type="dxa"/>
            <w:tcBorders>
              <w:top w:val="single" w:color="auto" w:sz="6" w:space="0"/>
              <w:left w:val="single" w:color="auto" w:sz="6" w:space="0"/>
              <w:bottom w:val="single" w:color="auto" w:sz="6" w:space="0"/>
              <w:right w:val="single" w:color="auto" w:sz="6" w:space="0"/>
            </w:tcBorders>
            <w:noWrap w:val="false"/>
            <w:tcMar>
              <w:left w:w="11" w:type="dxa"/>
              <w:top w:w="11" w:type="dxa"/>
              <w:right w:w="11" w:type="dxa"/>
              <w:bottom w:w="0" w:type="dxa"/>
            </w:tcMar>
            <w:textDirection w:val="lrTb"/>
            <w:vAlign w:val="center"/>
          </w:tcPr>
          <w:p>
            <w:pPr>
              <w:jc w:val="center"/>
              <w:rPr>
                <w:sz w:val="20"/>
                <w:szCs w:val="20"/>
                <w:highlight w:val="white"/>
              </w:rPr>
            </w:pPr>
            <w:r>
              <w:rPr>
                <w:sz w:val="20"/>
                <w:szCs w:val="20"/>
                <w:highlight w:val="white"/>
              </w:rPr>
              <w:t xml:space="preserve">1</w:t>
            </w:r>
            <w:r>
              <w:rPr>
                <w:sz w:val="20"/>
                <w:szCs w:val="20"/>
                <w:highlight w:val="white"/>
              </w:rPr>
            </w:r>
            <w:r>
              <w:rPr>
                <w:sz w:val="20"/>
                <w:szCs w:val="20"/>
                <w:highlight w:val="white"/>
              </w:rPr>
            </w:r>
          </w:p>
        </w:tc>
        <w:tc>
          <w:tcPr>
            <w:tcW w:w="1948" w:type="dxa"/>
            <w:tcBorders>
              <w:top w:val="single" w:color="auto" w:sz="6" w:space="0"/>
              <w:left w:val="single" w:color="auto" w:sz="6" w:space="0"/>
              <w:bottom w:val="single" w:color="auto" w:sz="6" w:space="0"/>
              <w:right w:val="single" w:color="auto" w:sz="6" w:space="0"/>
            </w:tcBorders>
            <w:noWrap w:val="false"/>
            <w:tcMar>
              <w:left w:w="11" w:type="dxa"/>
              <w:top w:w="11" w:type="dxa"/>
              <w:right w:w="11" w:type="dxa"/>
              <w:bottom w:w="0" w:type="dxa"/>
            </w:tcMar>
            <w:textDirection w:val="lrTb"/>
            <w:vAlign w:val="center"/>
          </w:tcPr>
          <w:p>
            <w:pPr>
              <w:jc w:val="center"/>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tc>
      </w:tr>
      <w:tr>
        <w:trPr/>
        <w:tblPrEx/>
        <w:tc>
          <w:tcPr>
            <w:tcW w:w="6605" w:type="dxa"/>
            <w:tcBorders>
              <w:top w:val="single" w:color="auto" w:sz="6" w:space="0"/>
              <w:left w:val="single" w:color="auto" w:sz="6" w:space="0"/>
              <w:bottom w:val="single" w:color="auto" w:sz="6" w:space="0"/>
              <w:right w:val="single" w:color="auto" w:sz="6" w:space="0"/>
            </w:tcBorders>
            <w:noWrap w:val="false"/>
            <w:tcMar>
              <w:left w:w="11" w:type="dxa"/>
              <w:top w:w="11" w:type="dxa"/>
              <w:right w:w="11" w:type="dxa"/>
              <w:bottom w:w="0" w:type="dxa"/>
            </w:tcMar>
            <w:textDirection w:val="lrTb"/>
          </w:tcPr>
          <w:p>
            <w:pPr>
              <w:rPr>
                <w:rFonts w:ascii="Arial" w:hAnsi="Arial" w:cs="Arial"/>
                <w:sz w:val="20"/>
                <w:szCs w:val="20"/>
                <w:highlight w:val="white"/>
              </w:rPr>
            </w:pPr>
            <w:r>
              <w:rPr>
                <w:rFonts w:ascii="Arial" w:hAnsi="Arial" w:cs="Arial"/>
                <w:sz w:val="20"/>
                <w:szCs w:val="20"/>
                <w:highlight w:val="white"/>
              </w:rPr>
              <w:t xml:space="preserve">СС КонсультантСудебнаяПрактика: Суды общей юрисдикции всех округов</w:t>
            </w:r>
            <w:r>
              <w:rPr>
                <w:rFonts w:ascii="Arial" w:hAnsi="Arial" w:cs="Arial"/>
                <w:sz w:val="20"/>
                <w:szCs w:val="20"/>
                <w:highlight w:val="white"/>
              </w:rPr>
            </w:r>
            <w:r>
              <w:rPr>
                <w:rFonts w:ascii="Arial" w:hAnsi="Arial" w:cs="Arial"/>
                <w:sz w:val="20"/>
                <w:szCs w:val="20"/>
                <w:highlight w:val="white"/>
              </w:rPr>
            </w:r>
          </w:p>
        </w:tc>
        <w:tc>
          <w:tcPr>
            <w:tcW w:w="1951" w:type="dxa"/>
            <w:tcBorders>
              <w:top w:val="single" w:color="auto" w:sz="6" w:space="0"/>
              <w:left w:val="single" w:color="auto" w:sz="6" w:space="0"/>
              <w:bottom w:val="single" w:color="auto" w:sz="6" w:space="0"/>
              <w:right w:val="single" w:color="auto" w:sz="6" w:space="0"/>
            </w:tcBorders>
            <w:noWrap w:val="false"/>
            <w:tcMar>
              <w:left w:w="11" w:type="dxa"/>
              <w:top w:w="11" w:type="dxa"/>
              <w:right w:w="11" w:type="dxa"/>
              <w:bottom w:w="0" w:type="dxa"/>
            </w:tcMar>
            <w:textDirection w:val="lrTb"/>
            <w:vAlign w:val="center"/>
          </w:tcPr>
          <w:p>
            <w:pPr>
              <w:jc w:val="center"/>
              <w:rPr>
                <w:sz w:val="20"/>
                <w:szCs w:val="20"/>
                <w:highlight w:val="white"/>
              </w:rPr>
            </w:pPr>
            <w:r>
              <w:rPr>
                <w:sz w:val="20"/>
                <w:szCs w:val="20"/>
                <w:highlight w:val="white"/>
              </w:rPr>
              <w:t xml:space="preserve">1</w:t>
            </w:r>
            <w:r>
              <w:rPr>
                <w:sz w:val="20"/>
                <w:szCs w:val="20"/>
                <w:highlight w:val="white"/>
              </w:rPr>
            </w:r>
            <w:r>
              <w:rPr>
                <w:sz w:val="20"/>
                <w:szCs w:val="20"/>
                <w:highlight w:val="white"/>
              </w:rPr>
            </w:r>
          </w:p>
        </w:tc>
        <w:tc>
          <w:tcPr>
            <w:tcW w:w="1948" w:type="dxa"/>
            <w:tcBorders>
              <w:top w:val="single" w:color="auto" w:sz="6" w:space="0"/>
              <w:left w:val="single" w:color="auto" w:sz="6" w:space="0"/>
              <w:bottom w:val="single" w:color="auto" w:sz="6" w:space="0"/>
              <w:right w:val="single" w:color="auto" w:sz="6" w:space="0"/>
            </w:tcBorders>
            <w:noWrap w:val="false"/>
            <w:tcMar>
              <w:left w:w="11" w:type="dxa"/>
              <w:top w:w="11" w:type="dxa"/>
              <w:right w:w="11" w:type="dxa"/>
              <w:bottom w:w="0" w:type="dxa"/>
            </w:tcMar>
            <w:textDirection w:val="lrTb"/>
            <w:vAlign w:val="center"/>
          </w:tcPr>
          <w:p>
            <w:pPr>
              <w:jc w:val="center"/>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tc>
      </w:tr>
      <w:tr>
        <w:trPr/>
        <w:tblPrEx/>
        <w:tc>
          <w:tcPr>
            <w:tcW w:w="6605" w:type="dxa"/>
            <w:tcBorders>
              <w:top w:val="single" w:color="auto" w:sz="6" w:space="0"/>
              <w:left w:val="single" w:color="auto" w:sz="6" w:space="0"/>
              <w:bottom w:val="single" w:color="auto" w:sz="6" w:space="0"/>
              <w:right w:val="single" w:color="auto" w:sz="6" w:space="0"/>
            </w:tcBorders>
            <w:noWrap w:val="false"/>
            <w:tcMar>
              <w:left w:w="11" w:type="dxa"/>
              <w:top w:w="11" w:type="dxa"/>
              <w:right w:w="11" w:type="dxa"/>
              <w:bottom w:w="0" w:type="dxa"/>
            </w:tcMar>
            <w:textDirection w:val="lrTb"/>
          </w:tcPr>
          <w:p>
            <w:pPr>
              <w:rPr>
                <w:rFonts w:ascii="Arial" w:hAnsi="Arial" w:eastAsia="Arial"/>
                <w:color w:val="000000"/>
                <w:sz w:val="20"/>
                <w:szCs w:val="20"/>
                <w:highlight w:val="white"/>
              </w:rPr>
            </w:pPr>
            <w:r>
              <w:rPr>
                <w:rFonts w:ascii="Arial" w:hAnsi="Arial" w:eastAsia="Arial"/>
                <w:color w:val="000000"/>
                <w:sz w:val="20"/>
                <w:szCs w:val="20"/>
                <w:highlight w:val="white"/>
              </w:rPr>
              <w:t xml:space="preserve">СС КонсультантПлюс: Технические нормы</w:t>
            </w:r>
            <w:r>
              <w:rPr>
                <w:rFonts w:ascii="Arial" w:hAnsi="Arial" w:eastAsia="Arial"/>
                <w:color w:val="000000"/>
                <w:sz w:val="20"/>
                <w:szCs w:val="20"/>
                <w:highlight w:val="white"/>
              </w:rPr>
            </w:r>
            <w:r>
              <w:rPr>
                <w:rFonts w:ascii="Arial" w:hAnsi="Arial" w:eastAsia="Arial"/>
                <w:color w:val="000000"/>
                <w:sz w:val="20"/>
                <w:szCs w:val="20"/>
                <w:highlight w:val="white"/>
              </w:rPr>
            </w:r>
          </w:p>
        </w:tc>
        <w:tc>
          <w:tcPr>
            <w:tcW w:w="1951" w:type="dxa"/>
            <w:tcBorders>
              <w:top w:val="single" w:color="auto" w:sz="6" w:space="0"/>
              <w:left w:val="single" w:color="auto" w:sz="6" w:space="0"/>
              <w:bottom w:val="single" w:color="auto" w:sz="6" w:space="0"/>
              <w:right w:val="single" w:color="auto" w:sz="6" w:space="0"/>
            </w:tcBorders>
            <w:noWrap w:val="false"/>
            <w:tcMar>
              <w:left w:w="11" w:type="dxa"/>
              <w:top w:w="11" w:type="dxa"/>
              <w:right w:w="11" w:type="dxa"/>
              <w:bottom w:w="0" w:type="dxa"/>
            </w:tcMar>
            <w:textDirection w:val="lrTb"/>
            <w:vAlign w:val="center"/>
          </w:tcPr>
          <w:p>
            <w:pPr>
              <w:jc w:val="center"/>
              <w:rPr>
                <w:sz w:val="20"/>
                <w:szCs w:val="20"/>
                <w:highlight w:val="white"/>
              </w:rPr>
            </w:pPr>
            <w:r>
              <w:rPr>
                <w:sz w:val="20"/>
                <w:szCs w:val="20"/>
                <w:highlight w:val="white"/>
              </w:rPr>
              <w:t xml:space="preserve">2</w:t>
            </w:r>
            <w:r>
              <w:rPr>
                <w:sz w:val="20"/>
                <w:szCs w:val="20"/>
                <w:highlight w:val="white"/>
              </w:rPr>
            </w:r>
            <w:r>
              <w:rPr>
                <w:sz w:val="20"/>
                <w:szCs w:val="20"/>
                <w:highlight w:val="white"/>
              </w:rPr>
            </w:r>
          </w:p>
        </w:tc>
        <w:tc>
          <w:tcPr>
            <w:tcW w:w="1948" w:type="dxa"/>
            <w:tcBorders>
              <w:top w:val="single" w:color="auto" w:sz="6" w:space="0"/>
              <w:left w:val="single" w:color="auto" w:sz="6" w:space="0"/>
              <w:bottom w:val="single" w:color="auto" w:sz="6" w:space="0"/>
              <w:right w:val="single" w:color="auto" w:sz="6" w:space="0"/>
            </w:tcBorders>
            <w:noWrap w:val="false"/>
            <w:tcMar>
              <w:left w:w="11" w:type="dxa"/>
              <w:top w:w="11" w:type="dxa"/>
              <w:right w:w="11" w:type="dxa"/>
              <w:bottom w:w="0" w:type="dxa"/>
            </w:tcMar>
            <w:textDirection w:val="lrTb"/>
            <w:vAlign w:val="center"/>
          </w:tcPr>
          <w:p>
            <w:pPr>
              <w:jc w:val="center"/>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tc>
      </w:tr>
      <w:tr>
        <w:trPr/>
        <w:tblPrEx/>
        <w:tc>
          <w:tcPr>
            <w:tcW w:w="6605" w:type="dxa"/>
            <w:tcBorders>
              <w:top w:val="single" w:color="auto" w:sz="6" w:space="0"/>
              <w:left w:val="single" w:color="auto" w:sz="6" w:space="0"/>
              <w:bottom w:val="single" w:color="auto" w:sz="6" w:space="0"/>
              <w:right w:val="single" w:color="auto" w:sz="6" w:space="0"/>
            </w:tcBorders>
            <w:noWrap w:val="false"/>
            <w:tcMar>
              <w:left w:w="11" w:type="dxa"/>
              <w:top w:w="11" w:type="dxa"/>
              <w:right w:w="11" w:type="dxa"/>
              <w:bottom w:w="0" w:type="dxa"/>
            </w:tcMar>
            <w:textDirection w:val="lrTb"/>
          </w:tcPr>
          <w:p>
            <w:pPr>
              <w:rPr>
                <w:rFonts w:ascii="Arial" w:hAnsi="Arial" w:eastAsia="Arial"/>
                <w:b/>
                <w:color w:val="000000"/>
                <w:sz w:val="20"/>
                <w:szCs w:val="20"/>
                <w:highlight w:val="white"/>
              </w:rPr>
            </w:pPr>
            <w:r>
              <w:rPr>
                <w:rFonts w:ascii="Segoe UI" w:hAnsi="Segoe UI" w:eastAsia="Segoe UI"/>
                <w:color w:val="000000"/>
                <w:sz w:val="20"/>
                <w:szCs w:val="20"/>
                <w:highlight w:val="white"/>
              </w:rPr>
              <w:t xml:space="preserve">СС Деловые бумаги</w:t>
            </w:r>
            <w:r>
              <w:rPr>
                <w:rFonts w:ascii="Arial" w:hAnsi="Arial" w:eastAsia="Arial"/>
                <w:b/>
                <w:color w:val="000000"/>
                <w:sz w:val="20"/>
                <w:szCs w:val="20"/>
                <w:highlight w:val="white"/>
              </w:rPr>
            </w:r>
            <w:r>
              <w:rPr>
                <w:rFonts w:ascii="Arial" w:hAnsi="Arial" w:eastAsia="Arial"/>
                <w:b/>
                <w:color w:val="000000"/>
                <w:sz w:val="20"/>
                <w:szCs w:val="20"/>
                <w:highlight w:val="white"/>
              </w:rPr>
            </w:r>
          </w:p>
        </w:tc>
        <w:tc>
          <w:tcPr>
            <w:tcW w:w="1951" w:type="dxa"/>
            <w:tcBorders>
              <w:top w:val="single" w:color="auto" w:sz="6" w:space="0"/>
              <w:left w:val="single" w:color="auto" w:sz="6" w:space="0"/>
              <w:bottom w:val="single" w:color="auto" w:sz="6" w:space="0"/>
              <w:right w:val="single" w:color="auto" w:sz="6" w:space="0"/>
            </w:tcBorders>
            <w:noWrap w:val="false"/>
            <w:tcMar>
              <w:left w:w="11" w:type="dxa"/>
              <w:top w:w="11" w:type="dxa"/>
              <w:right w:w="11" w:type="dxa"/>
              <w:bottom w:w="0" w:type="dxa"/>
            </w:tcMar>
            <w:textDirection w:val="lrTb"/>
            <w:vAlign w:val="center"/>
          </w:tcPr>
          <w:p>
            <w:pPr>
              <w:jc w:val="center"/>
              <w:rPr>
                <w:sz w:val="20"/>
                <w:szCs w:val="20"/>
                <w:highlight w:val="white"/>
              </w:rPr>
            </w:pPr>
            <w:r>
              <w:rPr>
                <w:sz w:val="20"/>
                <w:szCs w:val="20"/>
                <w:highlight w:val="white"/>
              </w:rPr>
              <w:t xml:space="preserve">2</w:t>
            </w:r>
            <w:r>
              <w:rPr>
                <w:sz w:val="20"/>
                <w:szCs w:val="20"/>
                <w:highlight w:val="white"/>
              </w:rPr>
            </w:r>
            <w:r>
              <w:rPr>
                <w:sz w:val="20"/>
                <w:szCs w:val="20"/>
                <w:highlight w:val="white"/>
              </w:rPr>
            </w:r>
          </w:p>
        </w:tc>
        <w:tc>
          <w:tcPr>
            <w:tcW w:w="1948" w:type="dxa"/>
            <w:tcBorders>
              <w:top w:val="single" w:color="auto" w:sz="6" w:space="0"/>
              <w:left w:val="single" w:color="auto" w:sz="6" w:space="0"/>
              <w:bottom w:val="single" w:color="auto" w:sz="6" w:space="0"/>
              <w:right w:val="single" w:color="auto" w:sz="6" w:space="0"/>
            </w:tcBorders>
            <w:noWrap w:val="false"/>
            <w:tcMar>
              <w:left w:w="11" w:type="dxa"/>
              <w:top w:w="11" w:type="dxa"/>
              <w:right w:w="11" w:type="dxa"/>
              <w:bottom w:w="0" w:type="dxa"/>
            </w:tcMar>
            <w:textDirection w:val="lrTb"/>
            <w:vAlign w:val="center"/>
          </w:tcPr>
          <w:p>
            <w:pPr>
              <w:jc w:val="center"/>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tc>
      </w:tr>
      <w:tr>
        <w:trPr/>
        <w:tblPrEx/>
        <w:tc>
          <w:tcPr>
            <w:tcW w:w="6605" w:type="dxa"/>
            <w:tcBorders>
              <w:top w:val="single" w:color="auto" w:sz="6" w:space="0"/>
              <w:left w:val="single" w:color="auto" w:sz="6" w:space="0"/>
              <w:bottom w:val="single" w:color="auto" w:sz="6" w:space="0"/>
              <w:right w:val="single" w:color="auto" w:sz="6" w:space="0"/>
            </w:tcBorders>
            <w:noWrap w:val="false"/>
            <w:tcMar>
              <w:left w:w="11" w:type="dxa"/>
              <w:top w:w="11" w:type="dxa"/>
              <w:right w:w="11" w:type="dxa"/>
              <w:bottom w:w="0" w:type="dxa"/>
            </w:tcMar>
            <w:textDirection w:val="lrTb"/>
          </w:tcPr>
          <w:p>
            <w:pPr>
              <w:rPr>
                <w:rFonts w:ascii="Arial" w:hAnsi="Arial" w:eastAsia="Arial"/>
                <w:color w:val="000000"/>
                <w:sz w:val="20"/>
                <w:szCs w:val="20"/>
                <w:highlight w:val="white"/>
              </w:rPr>
            </w:pPr>
            <w:r>
              <w:rPr>
                <w:rFonts w:ascii="Arial" w:hAnsi="Arial" w:eastAsia="Arial"/>
                <w:color w:val="000000"/>
                <w:sz w:val="20"/>
                <w:szCs w:val="20"/>
                <w:highlight w:val="white"/>
              </w:rPr>
              <w:t xml:space="preserve">СС Перспективы и риски арбитражных споров</w:t>
            </w:r>
            <w:r>
              <w:rPr>
                <w:rFonts w:ascii="Arial" w:hAnsi="Arial" w:eastAsia="Arial"/>
                <w:color w:val="000000"/>
                <w:sz w:val="20"/>
                <w:szCs w:val="20"/>
                <w:highlight w:val="white"/>
              </w:rPr>
            </w:r>
            <w:r>
              <w:rPr>
                <w:rFonts w:ascii="Arial" w:hAnsi="Arial" w:eastAsia="Arial"/>
                <w:color w:val="000000"/>
                <w:sz w:val="20"/>
                <w:szCs w:val="20"/>
                <w:highlight w:val="white"/>
              </w:rPr>
            </w:r>
          </w:p>
        </w:tc>
        <w:tc>
          <w:tcPr>
            <w:tcW w:w="1951" w:type="dxa"/>
            <w:tcBorders>
              <w:top w:val="single" w:color="auto" w:sz="6" w:space="0"/>
              <w:left w:val="single" w:color="auto" w:sz="6" w:space="0"/>
              <w:bottom w:val="single" w:color="auto" w:sz="6" w:space="0"/>
              <w:right w:val="single" w:color="auto" w:sz="6" w:space="0"/>
            </w:tcBorders>
            <w:noWrap w:val="false"/>
            <w:tcMar>
              <w:left w:w="11" w:type="dxa"/>
              <w:top w:w="11" w:type="dxa"/>
              <w:right w:w="11" w:type="dxa"/>
              <w:bottom w:w="0" w:type="dxa"/>
            </w:tcMar>
            <w:textDirection w:val="lrTb"/>
            <w:vAlign w:val="center"/>
          </w:tcPr>
          <w:p>
            <w:pPr>
              <w:jc w:val="center"/>
              <w:rPr>
                <w:sz w:val="20"/>
                <w:szCs w:val="20"/>
                <w:highlight w:val="white"/>
              </w:rPr>
            </w:pPr>
            <w:r>
              <w:rPr>
                <w:sz w:val="20"/>
                <w:szCs w:val="20"/>
                <w:highlight w:val="white"/>
              </w:rPr>
              <w:t xml:space="preserve">1</w:t>
            </w:r>
            <w:r>
              <w:rPr>
                <w:sz w:val="20"/>
                <w:szCs w:val="20"/>
                <w:highlight w:val="white"/>
              </w:rPr>
            </w:r>
            <w:r>
              <w:rPr>
                <w:sz w:val="20"/>
                <w:szCs w:val="20"/>
                <w:highlight w:val="white"/>
              </w:rPr>
            </w:r>
          </w:p>
        </w:tc>
        <w:tc>
          <w:tcPr>
            <w:tcW w:w="1948" w:type="dxa"/>
            <w:tcBorders>
              <w:top w:val="single" w:color="auto" w:sz="6" w:space="0"/>
              <w:left w:val="single" w:color="auto" w:sz="6" w:space="0"/>
              <w:bottom w:val="single" w:color="auto" w:sz="6" w:space="0"/>
              <w:right w:val="single" w:color="auto" w:sz="6" w:space="0"/>
            </w:tcBorders>
            <w:noWrap w:val="false"/>
            <w:tcMar>
              <w:left w:w="11" w:type="dxa"/>
              <w:top w:w="11" w:type="dxa"/>
              <w:right w:w="11" w:type="dxa"/>
              <w:bottom w:w="0" w:type="dxa"/>
            </w:tcMar>
            <w:textDirection w:val="lrTb"/>
            <w:vAlign w:val="center"/>
          </w:tcPr>
          <w:p>
            <w:pPr>
              <w:jc w:val="center"/>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tc>
      </w:tr>
      <w:tr>
        <w:trPr/>
        <w:tblPrEx/>
        <w:tc>
          <w:tcPr>
            <w:tcW w:w="8556" w:type="dxa"/>
            <w:gridSpan w:val="2"/>
            <w:tcBorders>
              <w:top w:val="single" w:color="auto" w:sz="6" w:space="0"/>
              <w:left w:val="single" w:color="auto" w:sz="6" w:space="0"/>
              <w:bottom w:val="single" w:color="auto" w:sz="6" w:space="0"/>
              <w:right w:val="single" w:color="auto" w:sz="6" w:space="0"/>
            </w:tcBorders>
            <w:noWrap w:val="false"/>
            <w:tcMar>
              <w:left w:w="11" w:type="dxa"/>
              <w:top w:w="11" w:type="dxa"/>
              <w:right w:w="11" w:type="dxa"/>
              <w:bottom w:w="0" w:type="dxa"/>
            </w:tcMar>
            <w:textDirection w:val="lrTb"/>
          </w:tcPr>
          <w:p>
            <w:pPr>
              <w:rPr>
                <w:rFonts w:ascii="Arial" w:hAnsi="Arial" w:cs="Arial"/>
                <w:sz w:val="20"/>
                <w:szCs w:val="20"/>
                <w:highlight w:val="white"/>
              </w:rPr>
            </w:pPr>
            <w:r>
              <w:rPr>
                <w:rFonts w:ascii="Arial" w:hAnsi="Arial" w:cs="Arial"/>
                <w:sz w:val="20"/>
                <w:szCs w:val="20"/>
                <w:highlight w:val="white"/>
              </w:rPr>
              <w:t xml:space="preserve">Общая ежемесячная стоимость, с НДС 20%, руб., коп.</w:t>
            </w:r>
            <w:r>
              <w:rPr>
                <w:rFonts w:ascii="Arial" w:hAnsi="Arial" w:cs="Arial"/>
                <w:sz w:val="20"/>
                <w:szCs w:val="20"/>
                <w:highlight w:val="white"/>
              </w:rPr>
            </w:r>
            <w:r>
              <w:rPr>
                <w:rFonts w:ascii="Arial" w:hAnsi="Arial" w:cs="Arial"/>
                <w:sz w:val="20"/>
                <w:szCs w:val="20"/>
                <w:highlight w:val="white"/>
              </w:rPr>
            </w:r>
          </w:p>
        </w:tc>
        <w:tc>
          <w:tcPr>
            <w:tcW w:w="1948" w:type="dxa"/>
            <w:tcBorders>
              <w:top w:val="single" w:color="auto" w:sz="6" w:space="0"/>
              <w:left w:val="single" w:color="auto" w:sz="6" w:space="0"/>
              <w:bottom w:val="single" w:color="auto" w:sz="6" w:space="0"/>
              <w:right w:val="single" w:color="auto" w:sz="6" w:space="0"/>
            </w:tcBorders>
            <w:noWrap w:val="false"/>
            <w:tcMar>
              <w:left w:w="11" w:type="dxa"/>
              <w:top w:w="11" w:type="dxa"/>
              <w:right w:w="11" w:type="dxa"/>
              <w:bottom w:w="0" w:type="dxa"/>
            </w:tcMar>
            <w:textDirection w:val="lrTb"/>
            <w:vAlign w:val="center"/>
          </w:tcPr>
          <w:p>
            <w:pPr>
              <w:jc w:val="center"/>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tc>
      </w:tr>
      <w:tr>
        <w:trPr/>
        <w:tblPrEx/>
        <w:tc>
          <w:tcPr>
            <w:tcW w:w="8556" w:type="dxa"/>
            <w:gridSpan w:val="2"/>
            <w:tcBorders>
              <w:top w:val="single" w:color="auto" w:sz="6" w:space="0"/>
              <w:left w:val="single" w:color="auto" w:sz="6" w:space="0"/>
              <w:bottom w:val="single" w:color="auto" w:sz="6" w:space="0"/>
              <w:right w:val="single" w:color="auto" w:sz="6" w:space="0"/>
            </w:tcBorders>
            <w:noWrap w:val="false"/>
            <w:tcMar>
              <w:left w:w="11" w:type="dxa"/>
              <w:top w:w="11" w:type="dxa"/>
              <w:right w:w="11" w:type="dxa"/>
              <w:bottom w:w="0" w:type="dxa"/>
            </w:tcMar>
            <w:textDirection w:val="lrTb"/>
          </w:tcPr>
          <w:p>
            <w:pPr>
              <w:rPr>
                <w:rFonts w:ascii="Arial" w:hAnsi="Arial" w:cs="Arial"/>
                <w:sz w:val="20"/>
                <w:szCs w:val="20"/>
                <w:highlight w:val="white"/>
              </w:rPr>
            </w:pPr>
            <w:r>
              <w:rPr>
                <w:rFonts w:ascii="Arial" w:hAnsi="Arial" w:cs="Arial"/>
                <w:sz w:val="20"/>
                <w:szCs w:val="20"/>
                <w:highlight w:val="white"/>
              </w:rPr>
              <w:t xml:space="preserve">НДС 20%, в руб., коп</w:t>
            </w:r>
            <w:r>
              <w:rPr>
                <w:rFonts w:ascii="Arial" w:hAnsi="Arial" w:cs="Arial"/>
                <w:sz w:val="20"/>
                <w:szCs w:val="20"/>
                <w:highlight w:val="white"/>
              </w:rPr>
            </w:r>
            <w:r>
              <w:rPr>
                <w:rFonts w:ascii="Arial" w:hAnsi="Arial" w:cs="Arial"/>
                <w:sz w:val="20"/>
                <w:szCs w:val="20"/>
                <w:highlight w:val="white"/>
              </w:rPr>
            </w:r>
          </w:p>
        </w:tc>
        <w:tc>
          <w:tcPr>
            <w:tcW w:w="1948" w:type="dxa"/>
            <w:tcBorders>
              <w:top w:val="single" w:color="auto" w:sz="6" w:space="0"/>
              <w:left w:val="single" w:color="auto" w:sz="6" w:space="0"/>
              <w:bottom w:val="single" w:color="auto" w:sz="6" w:space="0"/>
              <w:right w:val="single" w:color="auto" w:sz="6" w:space="0"/>
            </w:tcBorders>
            <w:noWrap w:val="false"/>
            <w:tcMar>
              <w:left w:w="11" w:type="dxa"/>
              <w:top w:w="11" w:type="dxa"/>
              <w:right w:w="11" w:type="dxa"/>
              <w:bottom w:w="0" w:type="dxa"/>
            </w:tcMar>
            <w:textDirection w:val="lrTb"/>
            <w:vAlign w:val="center"/>
          </w:tcPr>
          <w:p>
            <w:pPr>
              <w:jc w:val="center"/>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tc>
      </w:tr>
    </w:tbl>
    <w:p>
      <w:pPr>
        <w:jc w:val="both"/>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p>
      <w:pPr>
        <w:numPr>
          <w:numId w:val="3"/>
          <w:ilvl w:val="1"/>
        </w:numPr>
        <w:jc w:val="both"/>
        <w:rPr>
          <w:rFonts w:ascii="Arial" w:hAnsi="Arial" w:cs="Arial"/>
          <w:sz w:val="20"/>
          <w:szCs w:val="20"/>
          <w:highlight w:val="white"/>
        </w:rPr>
      </w:pPr>
      <w:r>
        <w:rPr>
          <w:rFonts w:ascii="Arial" w:hAnsi="Arial" w:cs="Arial"/>
          <w:sz w:val="20"/>
          <w:szCs w:val="20"/>
          <w:highlight w:val="white"/>
        </w:rPr>
        <w:t xml:space="preserve">Цена Договора указана с учетом всех расходов Исполнителя, связанных</w:t>
      </w:r>
      <w:r>
        <w:rPr>
          <w:rFonts w:ascii="Arial" w:hAnsi="Arial" w:cs="Arial"/>
          <w:sz w:val="20"/>
          <w:szCs w:val="20"/>
          <w:highlight w:val="white"/>
        </w:rPr>
        <w:t xml:space="preserve"> с оказанием услуг и всех расходов на перевозку, страхование, в том числе уплату налогов, пошлин, сборов, расходов по оплате стоимости сторонних организаций и третьих лиц и других обязательных платежей, которые необходимо выплатить при исполнении Договора.</w:t>
      </w:r>
      <w:r>
        <w:rPr>
          <w:rFonts w:ascii="Arial" w:hAnsi="Arial" w:cs="Arial"/>
          <w:sz w:val="20"/>
          <w:szCs w:val="20"/>
          <w:highlight w:val="white"/>
        </w:rPr>
      </w:r>
      <w:r>
        <w:rPr>
          <w:rFonts w:ascii="Arial" w:hAnsi="Arial" w:cs="Arial"/>
          <w:sz w:val="20"/>
          <w:szCs w:val="20"/>
          <w:highlight w:val="white"/>
        </w:rPr>
      </w:r>
    </w:p>
    <w:p>
      <w:pPr>
        <w:numPr>
          <w:numId w:val="3"/>
          <w:ilvl w:val="1"/>
        </w:numPr>
        <w:jc w:val="both"/>
        <w:rPr>
          <w:rFonts w:ascii="Arial" w:hAnsi="Arial" w:cs="Arial"/>
          <w:sz w:val="20"/>
          <w:szCs w:val="20"/>
          <w:highlight w:val="white"/>
        </w:rPr>
      </w:pPr>
      <w:r>
        <w:rPr>
          <w:rFonts w:ascii="Arial" w:hAnsi="Arial" w:cs="Arial"/>
          <w:sz w:val="20"/>
          <w:szCs w:val="20"/>
          <w:highlight w:val="white"/>
        </w:rPr>
        <w:t xml:space="preserve">Цена Договора может быть изменена с учетом требований законодательства РФ, если по предложению Заказчика увеличивается/уменьшается предусмотренный Договором объем услуг. Изменение объема у</w:t>
      </w:r>
      <w:r>
        <w:rPr>
          <w:rFonts w:ascii="Arial" w:hAnsi="Arial" w:cs="Arial"/>
          <w:sz w:val="20"/>
          <w:szCs w:val="20"/>
          <w:highlight w:val="white"/>
        </w:rPr>
        <w:t xml:space="preserve">слуг и цена договора   определяю</w:t>
      </w:r>
      <w:r>
        <w:rPr>
          <w:rFonts w:ascii="Arial" w:hAnsi="Arial" w:cs="Arial"/>
          <w:sz w:val="20"/>
          <w:szCs w:val="20"/>
          <w:highlight w:val="white"/>
        </w:rPr>
        <w:t xml:space="preserve">тся в Дополнительном соглашении.</w:t>
      </w:r>
      <w:r>
        <w:rPr>
          <w:rFonts w:ascii="Arial" w:hAnsi="Arial" w:cs="Arial"/>
          <w:sz w:val="20"/>
          <w:szCs w:val="20"/>
          <w:highlight w:val="white"/>
        </w:rPr>
      </w:r>
      <w:r>
        <w:rPr>
          <w:rFonts w:ascii="Arial" w:hAnsi="Arial" w:cs="Arial"/>
          <w:sz w:val="20"/>
          <w:szCs w:val="20"/>
          <w:highlight w:val="white"/>
        </w:rPr>
      </w:r>
    </w:p>
    <w:p>
      <w:pPr>
        <w:jc w:val="both"/>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p>
      <w:pPr>
        <w:numPr>
          <w:numId w:val="3"/>
          <w:ilvl w:val="0"/>
        </w:numPr>
        <w:jc w:val="center"/>
        <w:rPr>
          <w:rFonts w:ascii="Arial" w:hAnsi="Arial" w:cs="Arial"/>
          <w:sz w:val="20"/>
          <w:szCs w:val="20"/>
          <w:highlight w:val="white"/>
        </w:rPr>
      </w:pPr>
      <w:r>
        <w:rPr>
          <w:rFonts w:ascii="Arial" w:hAnsi="Arial" w:cs="Arial"/>
          <w:bCs/>
          <w:sz w:val="20"/>
          <w:szCs w:val="20"/>
          <w:highlight w:val="white"/>
        </w:rPr>
        <w:t xml:space="preserve">ПОРЯДОК РАСЧЕТОВ</w:t>
      </w:r>
      <w:r>
        <w:rPr>
          <w:rFonts w:ascii="Arial" w:hAnsi="Arial" w:cs="Arial"/>
          <w:sz w:val="20"/>
          <w:szCs w:val="20"/>
          <w:highlight w:val="white"/>
        </w:rPr>
      </w:r>
      <w:r>
        <w:rPr>
          <w:rFonts w:ascii="Arial" w:hAnsi="Arial" w:cs="Arial"/>
          <w:sz w:val="20"/>
          <w:szCs w:val="20"/>
          <w:highlight w:val="white"/>
        </w:rPr>
      </w:r>
    </w:p>
    <w:p>
      <w:pPr>
        <w:numPr>
          <w:numId w:val="3"/>
          <w:ilvl w:val="1"/>
        </w:numPr>
        <w:jc w:val="both"/>
        <w:rPr>
          <w:rFonts w:ascii="Arial" w:hAnsi="Arial" w:cs="Arial"/>
          <w:sz w:val="20"/>
          <w:szCs w:val="20"/>
          <w:highlight w:val="white"/>
        </w:rPr>
      </w:pPr>
      <w:r>
        <w:rPr>
          <w:rFonts w:ascii="Arial" w:hAnsi="Arial" w:cs="Arial"/>
          <w:sz w:val="20"/>
          <w:szCs w:val="20"/>
          <w:highlight w:val="white"/>
        </w:rPr>
        <w:t xml:space="preserve">Основанием для оплаты услуг является счет и </w:t>
      </w:r>
      <w:bookmarkStart w:id="8" w:name="_Hlk161915075"/>
      <w:r>
        <w:rPr>
          <w:rFonts w:ascii="Arial" w:hAnsi="Arial" w:cs="Arial"/>
          <w:sz w:val="20"/>
          <w:szCs w:val="20"/>
          <w:highlight w:val="white"/>
        </w:rPr>
        <w:t xml:space="preserve">Акт сдачи-приемки оказанных услуг </w:t>
      </w:r>
      <w:bookmarkEnd w:id="8"/>
      <w:r>
        <w:rPr>
          <w:rFonts w:ascii="Arial" w:hAnsi="Arial" w:cs="Arial"/>
          <w:sz w:val="20"/>
          <w:szCs w:val="20"/>
          <w:highlight w:val="white"/>
        </w:rPr>
        <w:t xml:space="preserve">(или </w:t>
      </w:r>
      <w:r>
        <w:rPr>
          <w:rFonts w:ascii="Arial" w:hAnsi="Arial" w:cs="Arial"/>
          <w:sz w:val="20"/>
          <w:szCs w:val="20"/>
          <w:highlight w:val="white"/>
        </w:rPr>
        <w:t xml:space="preserve">Унифицированный передаточный документ</w:t>
      </w:r>
      <w:r>
        <w:rPr>
          <w:sz w:val="20"/>
          <w:szCs w:val="20"/>
          <w:highlight w:val="white"/>
        </w:rPr>
        <w:t xml:space="preserve"> </w:t>
      </w:r>
      <w:r>
        <w:rPr>
          <w:rFonts w:ascii="Arial" w:hAnsi="Arial" w:cs="Arial"/>
          <w:sz w:val="20"/>
          <w:szCs w:val="20"/>
          <w:highlight w:val="white"/>
        </w:rPr>
        <w:t xml:space="preserve">по форме, предусмотренной Письмом ФНС России от 21.10.2013 № ММВ-20-3/96@</w:t>
      </w:r>
      <w:r>
        <w:rPr>
          <w:rFonts w:ascii="Arial" w:hAnsi="Arial" w:cs="Arial"/>
          <w:sz w:val="20"/>
          <w:szCs w:val="20"/>
          <w:highlight w:val="white"/>
        </w:rPr>
        <w:t xml:space="preserve"> (далее УПД)</w:t>
      </w:r>
      <w:r>
        <w:rPr>
          <w:rFonts w:ascii="Arial" w:hAnsi="Arial" w:cs="Arial"/>
          <w:sz w:val="20"/>
          <w:szCs w:val="20"/>
          <w:highlight w:val="white"/>
        </w:rPr>
        <w:t xml:space="preserve">). </w:t>
      </w:r>
      <w:r>
        <w:rPr>
          <w:rFonts w:ascii="Arial" w:hAnsi="Arial" w:cs="Arial"/>
          <w:sz w:val="20"/>
          <w:szCs w:val="20"/>
          <w:highlight w:val="white"/>
        </w:rPr>
      </w:r>
      <w:r>
        <w:rPr>
          <w:rFonts w:ascii="Arial" w:hAnsi="Arial" w:cs="Arial"/>
          <w:sz w:val="20"/>
          <w:szCs w:val="20"/>
          <w:highlight w:val="white"/>
        </w:rPr>
      </w:r>
    </w:p>
    <w:p>
      <w:pPr>
        <w:numPr>
          <w:numId w:val="3"/>
          <w:ilvl w:val="1"/>
        </w:numPr>
        <w:jc w:val="both"/>
        <w:rPr>
          <w:rFonts w:ascii="Arial" w:hAnsi="Arial" w:cs="Arial"/>
          <w:sz w:val="20"/>
          <w:szCs w:val="20"/>
          <w:highlight w:val="white"/>
        </w:rPr>
      </w:pPr>
      <w:r>
        <w:rPr>
          <w:rFonts w:ascii="Arial" w:hAnsi="Arial" w:cs="Arial"/>
          <w:sz w:val="20"/>
          <w:szCs w:val="20"/>
          <w:highlight w:val="white"/>
        </w:rPr>
        <w:t xml:space="preserve">Исполнитель обязан передать Заказчику документы, подтверждающие факт оказания Услуг</w:t>
      </w:r>
      <w:r>
        <w:rPr>
          <w:rFonts w:ascii="Arial" w:hAnsi="Arial" w:cs="Arial"/>
          <w:sz w:val="20"/>
          <w:szCs w:val="20"/>
          <w:highlight w:val="white"/>
        </w:rPr>
        <w:t xml:space="preserve"> </w:t>
      </w:r>
      <w:r>
        <w:rPr>
          <w:rFonts w:ascii="Arial" w:hAnsi="Arial" w:cs="Arial"/>
          <w:sz w:val="20"/>
          <w:szCs w:val="20"/>
          <w:highlight w:val="white"/>
        </w:rPr>
        <w:t xml:space="preserve">в отчетном периоде (</w:t>
      </w:r>
      <w:r>
        <w:rPr>
          <w:rFonts w:ascii="Arial" w:hAnsi="Arial" w:cs="Arial"/>
          <w:sz w:val="20"/>
          <w:szCs w:val="20"/>
          <w:highlight w:val="white"/>
        </w:rPr>
        <w:t xml:space="preserve">Акт сдачи-приемки оказанных услуг/</w:t>
      </w:r>
      <w:r>
        <w:rPr>
          <w:rFonts w:ascii="Arial" w:hAnsi="Arial" w:cs="Arial"/>
          <w:sz w:val="20"/>
          <w:szCs w:val="20"/>
          <w:highlight w:val="white"/>
        </w:rPr>
        <w:t xml:space="preserve">УПД, счет-фактуру, счет).</w:t>
      </w:r>
      <w:r>
        <w:rPr>
          <w:rFonts w:ascii="Arial" w:hAnsi="Arial" w:cs="Arial"/>
          <w:sz w:val="20"/>
          <w:szCs w:val="20"/>
          <w:highlight w:val="white"/>
        </w:rPr>
      </w:r>
      <w:r>
        <w:rPr>
          <w:rFonts w:ascii="Arial" w:hAnsi="Arial" w:cs="Arial"/>
          <w:sz w:val="20"/>
          <w:szCs w:val="20"/>
          <w:highlight w:val="white"/>
        </w:rPr>
      </w:r>
    </w:p>
    <w:p>
      <w:pPr>
        <w:numPr>
          <w:numId w:val="3"/>
          <w:ilvl w:val="1"/>
        </w:numPr>
        <w:jc w:val="both"/>
        <w:rPr>
          <w:rFonts w:ascii="Arial" w:hAnsi="Arial" w:cs="Arial"/>
          <w:sz w:val="20"/>
          <w:szCs w:val="20"/>
          <w:highlight w:val="white"/>
        </w:rPr>
      </w:pPr>
      <w:r>
        <w:rPr>
          <w:rFonts w:ascii="Arial" w:hAnsi="Arial" w:cs="Arial"/>
          <w:sz w:val="20"/>
          <w:szCs w:val="20"/>
          <w:highlight w:val="white"/>
        </w:rPr>
        <w:t xml:space="preserve">Перечисленные в пункте 5.2 документы, подтверждающие факт оказания Услуг, составляются в электронной форме, подписываются усиленной квалифицированной электронной подписью и направляются другой Стороне посредством программы для ЭВМ, предназ</w:t>
      </w:r>
      <w:r>
        <w:rPr>
          <w:rFonts w:ascii="Arial" w:hAnsi="Arial" w:cs="Arial"/>
          <w:sz w:val="20"/>
          <w:szCs w:val="20"/>
          <w:highlight w:val="white"/>
        </w:rPr>
        <w:t xml:space="preserve">наченной для обмена электронными документами не позднее следующего рабочего дня, считая со дня окончания оказания Услуги, в любом случае до 7-го числа месяца, следующего за днем окончания оказания Услуги в отчетном периоде, но не ранее подписания Договора.</w:t>
      </w:r>
      <w:r>
        <w:rPr>
          <w:rFonts w:ascii="Arial" w:hAnsi="Arial" w:cs="Arial"/>
          <w:sz w:val="20"/>
          <w:szCs w:val="20"/>
          <w:highlight w:val="white"/>
        </w:rPr>
      </w:r>
      <w:r>
        <w:rPr>
          <w:rFonts w:ascii="Arial" w:hAnsi="Arial" w:cs="Arial"/>
          <w:sz w:val="20"/>
          <w:szCs w:val="20"/>
          <w:highlight w:val="white"/>
        </w:rPr>
      </w:r>
    </w:p>
    <w:p>
      <w:pPr>
        <w:jc w:val="both"/>
        <w:rPr>
          <w:rFonts w:ascii="Arial" w:hAnsi="Arial" w:cs="Arial"/>
          <w:sz w:val="20"/>
          <w:szCs w:val="20"/>
          <w:highlight w:val="white"/>
        </w:rPr>
      </w:pPr>
      <w:r>
        <w:rPr>
          <w:rFonts w:ascii="Arial" w:hAnsi="Arial" w:cs="Arial"/>
          <w:sz w:val="20"/>
          <w:szCs w:val="20"/>
          <w:highlight w:val="white"/>
        </w:rPr>
        <w:t xml:space="preserve">В качестве программы для ЭВМ, предназначенной для обмена электронными документами, Заказчик использует «</w:t>
      </w:r>
      <w:r>
        <w:rPr>
          <w:rFonts w:ascii="Arial" w:hAnsi="Arial" w:cs="Arial"/>
          <w:sz w:val="20"/>
          <w:szCs w:val="20"/>
          <w:highlight w:val="white"/>
        </w:rPr>
        <w:t xml:space="preserve">Диадок</w:t>
      </w:r>
      <w:r>
        <w:rPr>
          <w:rFonts w:ascii="Arial" w:hAnsi="Arial" w:cs="Arial"/>
          <w:sz w:val="20"/>
          <w:szCs w:val="20"/>
          <w:highlight w:val="white"/>
        </w:rPr>
        <w:t xml:space="preserve">». </w:t>
      </w:r>
      <w:r>
        <w:rPr>
          <w:rFonts w:ascii="Arial" w:hAnsi="Arial" w:cs="Arial"/>
          <w:sz w:val="20"/>
          <w:szCs w:val="20"/>
          <w:highlight w:val="white"/>
        </w:rPr>
      </w:r>
      <w:r>
        <w:rPr>
          <w:rFonts w:ascii="Arial" w:hAnsi="Arial" w:cs="Arial"/>
          <w:sz w:val="20"/>
          <w:szCs w:val="20"/>
          <w:highlight w:val="white"/>
        </w:rPr>
      </w:r>
    </w:p>
    <w:p>
      <w:pPr>
        <w:jc w:val="both"/>
        <w:rPr>
          <w:rFonts w:ascii="Arial" w:hAnsi="Arial" w:cs="Arial"/>
          <w:sz w:val="20"/>
          <w:szCs w:val="20"/>
          <w:highlight w:val="white"/>
        </w:rPr>
      </w:pPr>
      <w:r>
        <w:rPr>
          <w:rFonts w:ascii="Arial" w:hAnsi="Arial" w:cs="Arial"/>
          <w:sz w:val="20"/>
          <w:szCs w:val="20"/>
          <w:highlight w:val="white"/>
        </w:rPr>
        <w:t xml:space="preserve">В качестве программы для ЭВМ, предназначенной для обмена электронными документами, Исполнитель использует «</w:t>
      </w:r>
      <w:r>
        <w:rPr>
          <w:rFonts w:ascii="Arial" w:hAnsi="Arial" w:cs="Arial"/>
          <w:sz w:val="20"/>
          <w:szCs w:val="20"/>
          <w:highlight w:val="white"/>
        </w:rPr>
        <w:t xml:space="preserve">Диадок</w:t>
      </w:r>
      <w:r>
        <w:rPr>
          <w:rFonts w:ascii="Arial" w:hAnsi="Arial" w:cs="Arial"/>
          <w:sz w:val="20"/>
          <w:szCs w:val="20"/>
          <w:highlight w:val="white"/>
        </w:rPr>
        <w:t xml:space="preserve">». </w:t>
      </w:r>
      <w:r>
        <w:rPr>
          <w:rFonts w:ascii="Arial" w:hAnsi="Arial" w:cs="Arial"/>
          <w:sz w:val="20"/>
          <w:szCs w:val="20"/>
          <w:highlight w:val="white"/>
        </w:rPr>
      </w:r>
      <w:r>
        <w:rPr>
          <w:rFonts w:ascii="Arial" w:hAnsi="Arial" w:cs="Arial"/>
          <w:sz w:val="20"/>
          <w:szCs w:val="20"/>
          <w:highlight w:val="white"/>
        </w:rPr>
      </w:r>
    </w:p>
    <w:p>
      <w:pPr>
        <w:jc w:val="both"/>
        <w:rPr>
          <w:rFonts w:ascii="Arial" w:hAnsi="Arial" w:cs="Arial"/>
          <w:sz w:val="20"/>
          <w:szCs w:val="20"/>
          <w:highlight w:val="white"/>
        </w:rPr>
      </w:pPr>
      <w:r>
        <w:rPr>
          <w:rFonts w:ascii="Arial" w:hAnsi="Arial" w:cs="Arial"/>
          <w:sz w:val="20"/>
          <w:szCs w:val="20"/>
          <w:highlight w:val="white"/>
        </w:rPr>
        <w:t xml:space="preserve">Стороны обязаны информировать друг друга о невозможности обмена документами в электронном виде, </w:t>
      </w:r>
      <w:r>
        <w:rPr>
          <w:rFonts w:ascii="Arial" w:hAnsi="Arial" w:cs="Arial"/>
          <w:sz w:val="20"/>
          <w:szCs w:val="20"/>
          <w:highlight w:val="white"/>
        </w:rPr>
        <w:t xml:space="preserve">подписанными квалифицированной электронной подписью, в случае технического сбоя внутренних систем Стороны. В этом случае в период действия такого сбоя Стороны производят обмен документами только на бумажном носителе с подписанием собственноручной подписью.</w:t>
      </w:r>
      <w:r>
        <w:rPr>
          <w:rFonts w:ascii="Arial" w:hAnsi="Arial" w:cs="Arial"/>
          <w:sz w:val="20"/>
          <w:szCs w:val="20"/>
          <w:highlight w:val="white"/>
        </w:rPr>
      </w:r>
      <w:r>
        <w:rPr>
          <w:rFonts w:ascii="Arial" w:hAnsi="Arial" w:cs="Arial"/>
          <w:sz w:val="20"/>
          <w:szCs w:val="20"/>
          <w:highlight w:val="white"/>
        </w:rPr>
      </w:r>
    </w:p>
    <w:p>
      <w:pPr>
        <w:jc w:val="both"/>
        <w:rPr>
          <w:rFonts w:ascii="Arial" w:hAnsi="Arial" w:cs="Arial"/>
          <w:sz w:val="20"/>
          <w:szCs w:val="20"/>
          <w:highlight w:val="white"/>
        </w:rPr>
      </w:pPr>
      <w:r>
        <w:rPr>
          <w:rFonts w:ascii="Arial" w:hAnsi="Arial" w:cs="Arial"/>
          <w:sz w:val="20"/>
          <w:szCs w:val="20"/>
          <w:highlight w:val="white"/>
        </w:rPr>
        <w:t xml:space="preserve">Документы, подтверждающие оказание Услуг в отчетном периоде, должны быть оформлены на имя Заказчика. В случае непредставления необходимых документов Заказчик уведомляет об этом Исполнителя. Исполнитель обязан в течение 2 (двух) календарных дней с м</w:t>
      </w:r>
      <w:r>
        <w:rPr>
          <w:rFonts w:ascii="Arial" w:hAnsi="Arial" w:cs="Arial"/>
          <w:sz w:val="20"/>
          <w:szCs w:val="20"/>
          <w:highlight w:val="white"/>
        </w:rPr>
        <w:t xml:space="preserve">омента получения данного уведомления Заказчика, но не позднее 7-го числа месяца, следующего за месяцем, в котором Услуги были оказаны, представить недостающие документы Заказчику, что не освобождает Исполнителя от ответственности, предусмотренной в пункте </w:t>
      </w:r>
      <w:r>
        <w:rPr>
          <w:rFonts w:ascii="Arial" w:hAnsi="Arial" w:cs="Arial"/>
          <w:sz w:val="20"/>
          <w:szCs w:val="20"/>
          <w:highlight w:val="white"/>
        </w:rPr>
        <w:t xml:space="preserve">7.</w:t>
      </w:r>
      <w:r>
        <w:rPr>
          <w:rFonts w:ascii="Arial" w:hAnsi="Arial" w:cs="Arial"/>
          <w:sz w:val="20"/>
          <w:szCs w:val="20"/>
          <w:highlight w:val="white"/>
        </w:rPr>
        <w:t xml:space="preserve">6</w:t>
      </w:r>
      <w:r>
        <w:rPr>
          <w:rFonts w:ascii="Arial" w:hAnsi="Arial" w:cs="Arial"/>
          <w:sz w:val="20"/>
          <w:szCs w:val="20"/>
          <w:highlight w:val="white"/>
        </w:rPr>
        <w:t xml:space="preserve"> настоящего Договора. </w:t>
      </w:r>
      <w:r>
        <w:rPr>
          <w:rFonts w:ascii="Arial" w:hAnsi="Arial" w:cs="Arial"/>
          <w:sz w:val="20"/>
          <w:szCs w:val="20"/>
          <w:highlight w:val="white"/>
        </w:rPr>
      </w:r>
      <w:r>
        <w:rPr>
          <w:rFonts w:ascii="Arial" w:hAnsi="Arial" w:cs="Arial"/>
          <w:sz w:val="20"/>
          <w:szCs w:val="20"/>
          <w:highlight w:val="white"/>
        </w:rPr>
      </w:r>
    </w:p>
    <w:p>
      <w:pPr>
        <w:numPr>
          <w:numId w:val="3"/>
          <w:ilvl w:val="1"/>
        </w:numPr>
        <w:jc w:val="both"/>
        <w:rPr>
          <w:rFonts w:ascii="Arial" w:hAnsi="Arial" w:cs="Arial"/>
          <w:sz w:val="20"/>
          <w:szCs w:val="20"/>
          <w:highlight w:val="white"/>
        </w:rPr>
      </w:pPr>
      <w:r>
        <w:rPr>
          <w:rFonts w:ascii="Arial" w:hAnsi="Arial" w:cs="Arial"/>
          <w:sz w:val="20"/>
          <w:szCs w:val="20"/>
          <w:highlight w:val="white"/>
        </w:rPr>
        <w:t xml:space="preserve">В случае наличия ошибок и иных неточностей в представленных Исполнителем документах, подтверждающих факт оказания Услуг в отчетном периоде, Заказчик уведомляет об этом Исполни</w:t>
      </w:r>
      <w:r>
        <w:rPr>
          <w:rFonts w:ascii="Arial" w:hAnsi="Arial" w:cs="Arial"/>
          <w:sz w:val="20"/>
          <w:szCs w:val="20"/>
          <w:highlight w:val="white"/>
        </w:rPr>
        <w:t xml:space="preserve">теля в течение 2 (двух) рабочих дней с даты получения от Исполнителя документов, подтверждающих факт оказания Услуг. В таком уведомлении Заказчик должен указать способ устранения ошибок и иных неточностей указанных документов. Исполнитель обязан в течение </w:t>
      </w:r>
      <w:r>
        <w:rPr>
          <w:rFonts w:ascii="Arial" w:hAnsi="Arial" w:cs="Arial"/>
          <w:sz w:val="20"/>
          <w:szCs w:val="20"/>
          <w:highlight w:val="white"/>
        </w:rPr>
        <w:t xml:space="preserve">2 (двух) календарных дней с момента получения данного уведомления от Заказчика устранить ошибки и иные неточности в таких документах и представить исправленные документы Заказчику, что не освобождает Исполнителя от ответственности, предусмотренной пунктом </w:t>
      </w:r>
      <w:r>
        <w:rPr>
          <w:rFonts w:ascii="Arial" w:hAnsi="Arial" w:cs="Arial"/>
          <w:sz w:val="20"/>
          <w:szCs w:val="20"/>
          <w:highlight w:val="white"/>
        </w:rPr>
        <w:t xml:space="preserve">7</w:t>
      </w:r>
      <w:r>
        <w:rPr>
          <w:rFonts w:ascii="Arial" w:hAnsi="Arial" w:cs="Arial"/>
          <w:sz w:val="20"/>
          <w:szCs w:val="20"/>
          <w:highlight w:val="white"/>
        </w:rPr>
        <w:t xml:space="preserve">.</w:t>
      </w:r>
      <w:r>
        <w:rPr>
          <w:rFonts w:ascii="Arial" w:hAnsi="Arial" w:cs="Arial"/>
          <w:sz w:val="20"/>
          <w:szCs w:val="20"/>
          <w:highlight w:val="white"/>
        </w:rPr>
        <w:t xml:space="preserve">6</w:t>
      </w:r>
      <w:r>
        <w:rPr>
          <w:rFonts w:ascii="Arial" w:hAnsi="Arial" w:cs="Arial"/>
          <w:sz w:val="20"/>
          <w:szCs w:val="20"/>
          <w:highlight w:val="white"/>
        </w:rPr>
        <w:t xml:space="preserve"> настоящего Договора.</w:t>
      </w:r>
      <w:r>
        <w:rPr>
          <w:rFonts w:ascii="Arial" w:hAnsi="Arial" w:cs="Arial"/>
          <w:sz w:val="20"/>
          <w:szCs w:val="20"/>
          <w:highlight w:val="white"/>
        </w:rPr>
      </w:r>
      <w:r>
        <w:rPr>
          <w:rFonts w:ascii="Arial" w:hAnsi="Arial" w:cs="Arial"/>
          <w:sz w:val="20"/>
          <w:szCs w:val="20"/>
          <w:highlight w:val="white"/>
        </w:rPr>
      </w:r>
    </w:p>
    <w:p>
      <w:pPr>
        <w:numPr>
          <w:numId w:val="3"/>
          <w:ilvl w:val="1"/>
        </w:numPr>
        <w:jc w:val="both"/>
        <w:rPr>
          <w:rFonts w:ascii="Arial" w:hAnsi="Arial" w:cs="Arial"/>
          <w:sz w:val="20"/>
          <w:szCs w:val="20"/>
          <w:highlight w:val="white"/>
        </w:rPr>
      </w:pPr>
      <w:r>
        <w:rPr>
          <w:sz w:val="20"/>
          <w:szCs w:val="20"/>
          <w:highlight w:val="white"/>
        </w:rPr>
      </w:r>
      <w:bookmarkStart w:id="9" w:name="_Ref401048584"/>
      <w:r>
        <w:rPr>
          <w:rFonts w:ascii="Arial" w:hAnsi="Arial" w:cs="Arial"/>
          <w:sz w:val="20"/>
          <w:szCs w:val="20"/>
          <w:highlight w:val="white"/>
        </w:rPr>
        <w:t xml:space="preserve">Заказчик в течение 3 (трех) рабочих дней, считая со дня, следующего за датой получения документов, указанных в пунктах 5.2, 5.3 настоящего Договора, но в любом случае до 10</w:t>
      </w:r>
      <w:r>
        <w:rPr>
          <w:rFonts w:ascii="Arial" w:hAnsi="Arial" w:cs="Arial"/>
          <w:sz w:val="20"/>
          <w:szCs w:val="20"/>
          <w:highlight w:val="white"/>
        </w:rPr>
        <w:noBreakHyphen/>
        <w:t xml:space="preserve">го числа месяца, следующего за днем окончания оказания Услуги в отчетном периоде, обязан рассмотреть и направить Исполнителю подписанный Акт сдачи-приемки оказанных услуг (или УПД) или мотивированный письменный отказ от приемки Услуг.</w:t>
      </w:r>
      <w:bookmarkEnd w:id="9"/>
      <w:r>
        <w:rPr>
          <w:rFonts w:ascii="Arial" w:hAnsi="Arial" w:cs="Arial"/>
          <w:sz w:val="20"/>
          <w:szCs w:val="20"/>
          <w:highlight w:val="white"/>
        </w:rPr>
      </w:r>
      <w:r>
        <w:rPr>
          <w:rFonts w:ascii="Arial" w:hAnsi="Arial" w:cs="Arial"/>
          <w:sz w:val="20"/>
          <w:szCs w:val="20"/>
          <w:highlight w:val="white"/>
        </w:rPr>
      </w:r>
    </w:p>
    <w:p>
      <w:pPr>
        <w:numPr>
          <w:numId w:val="3"/>
          <w:ilvl w:val="1"/>
        </w:numPr>
        <w:jc w:val="both"/>
        <w:rPr>
          <w:rFonts w:ascii="Arial" w:hAnsi="Arial" w:cs="Arial"/>
          <w:sz w:val="20"/>
          <w:szCs w:val="20"/>
          <w:highlight w:val="white"/>
        </w:rPr>
      </w:pPr>
      <w:r>
        <w:rPr>
          <w:rFonts w:ascii="Arial" w:hAnsi="Arial" w:cs="Arial"/>
          <w:sz w:val="20"/>
          <w:szCs w:val="20"/>
          <w:highlight w:val="white"/>
        </w:rPr>
        <w:t xml:space="preserve">В случае мотивированного отказа Заказ</w:t>
      </w:r>
      <w:r>
        <w:rPr>
          <w:rFonts w:ascii="Arial" w:hAnsi="Arial" w:cs="Arial"/>
          <w:sz w:val="20"/>
          <w:szCs w:val="20"/>
          <w:highlight w:val="white"/>
        </w:rPr>
        <w:t xml:space="preserve">чика от приемки Услуг им составляется перечень замечаний по оказанным Услугам и сроков их устранения. «Мотивированный отказ» – документ, подписанный Заказчиком, содержащий единый, консолидированный, непротиворечивый, исчерпывающий, подробный перечень замеч</w:t>
      </w:r>
      <w:r>
        <w:rPr>
          <w:rFonts w:ascii="Arial" w:hAnsi="Arial" w:cs="Arial"/>
          <w:sz w:val="20"/>
          <w:szCs w:val="20"/>
          <w:highlight w:val="white"/>
        </w:rPr>
        <w:t xml:space="preserve">аний, в силу которых Услуги не удовлетворяют согласованным Сторонами требованиям к результатам оказания Услуг. Здесь означает: "единый" – 1 (один) мотивированный отказ на предоставленный УПД; "консолидированный" – содержит замечания, относящиеся к каждому </w:t>
      </w:r>
      <w:r>
        <w:rPr>
          <w:rFonts w:ascii="Arial" w:hAnsi="Arial" w:cs="Arial"/>
          <w:sz w:val="20"/>
          <w:szCs w:val="20"/>
          <w:highlight w:val="white"/>
        </w:rPr>
        <w:t xml:space="preserve">пункту, вопросу или концепции и характеризующие одну общую позицию Заказчика; "непротиворечивый" – отсутствие по од</w:t>
      </w:r>
      <w:r>
        <w:rPr>
          <w:rFonts w:ascii="Arial" w:hAnsi="Arial" w:cs="Arial"/>
          <w:sz w:val="20"/>
          <w:szCs w:val="20"/>
          <w:highlight w:val="white"/>
        </w:rPr>
        <w:t xml:space="preserve">ному и тому же пункту, вопросу или концепции 2 (двух) и более замечаний, несоответствующих или противоречащих друг другу; "исчерпывающий" – отсутствие по любому пункту, вопросу или концепции иных, не включенных в мотивированный отказ, замечаний; "подробный</w:t>
      </w:r>
      <w:r>
        <w:rPr>
          <w:rFonts w:ascii="Arial" w:hAnsi="Arial" w:cs="Arial"/>
          <w:sz w:val="20"/>
          <w:szCs w:val="20"/>
          <w:highlight w:val="white"/>
        </w:rPr>
        <w:t xml:space="preserve">" – однозначно сопоставляет замечания по любому пункту, вопросу или концепции с конкретными требованиями к результатам оказания Услуг. Устранения обоснованных замечаний производятся Исполнителем за свой счет при условии, что они не выходят за пределы объем</w:t>
      </w:r>
      <w:r>
        <w:rPr>
          <w:rFonts w:ascii="Arial" w:hAnsi="Arial" w:cs="Arial"/>
          <w:sz w:val="20"/>
          <w:szCs w:val="20"/>
          <w:highlight w:val="white"/>
        </w:rPr>
        <w:t xml:space="preserve">а Услуг, указанного в п.4.1. Договора. Повторная приемка результатов оказания Услуг после устранения замечаний осуществляется только по перечню замечаний, содержащихся в мотивированном отказе в порядке, установленном для первоначальной сдачи-приемки Услуг.</w:t>
      </w:r>
      <w:r>
        <w:rPr>
          <w:rFonts w:ascii="Arial" w:hAnsi="Arial" w:cs="Arial"/>
          <w:sz w:val="20"/>
          <w:szCs w:val="20"/>
          <w:highlight w:val="white"/>
        </w:rPr>
      </w:r>
      <w:r>
        <w:rPr>
          <w:rFonts w:ascii="Arial" w:hAnsi="Arial" w:cs="Arial"/>
          <w:sz w:val="20"/>
          <w:szCs w:val="20"/>
          <w:highlight w:val="white"/>
        </w:rPr>
      </w:r>
    </w:p>
    <w:p>
      <w:pPr>
        <w:numPr>
          <w:numId w:val="3"/>
          <w:ilvl w:val="1"/>
        </w:numPr>
        <w:jc w:val="both"/>
        <w:rPr>
          <w:rFonts w:ascii="Arial" w:hAnsi="Arial" w:cs="Arial"/>
          <w:sz w:val="20"/>
          <w:szCs w:val="20"/>
          <w:highlight w:val="white"/>
        </w:rPr>
      </w:pPr>
      <w:r>
        <w:rPr>
          <w:rFonts w:ascii="Arial" w:hAnsi="Arial" w:cs="Arial"/>
          <w:sz w:val="20"/>
          <w:szCs w:val="20"/>
          <w:highlight w:val="white"/>
        </w:rPr>
        <w:t xml:space="preserve">Если по истече</w:t>
      </w:r>
      <w:r>
        <w:rPr>
          <w:rFonts w:ascii="Arial" w:hAnsi="Arial" w:cs="Arial"/>
          <w:sz w:val="20"/>
          <w:szCs w:val="20"/>
          <w:highlight w:val="white"/>
        </w:rPr>
        <w:t xml:space="preserve">нии срока, указанного в пункте 5.4 настоящего Договора, Заказчик не подписывает УПД и не направляет Исполнителю мотивированный отказ от приемки Услуг, Услуги считаются принятыми и подлежат оплате в порядке, определенном настоящим Договором в полном объеме.</w:t>
      </w:r>
      <w:r>
        <w:rPr>
          <w:rFonts w:ascii="Arial" w:hAnsi="Arial" w:cs="Arial"/>
          <w:sz w:val="20"/>
          <w:szCs w:val="20"/>
          <w:highlight w:val="white"/>
        </w:rPr>
      </w:r>
      <w:r>
        <w:rPr>
          <w:rFonts w:ascii="Arial" w:hAnsi="Arial" w:cs="Arial"/>
          <w:sz w:val="20"/>
          <w:szCs w:val="20"/>
          <w:highlight w:val="white"/>
        </w:rPr>
      </w:r>
    </w:p>
    <w:p>
      <w:pPr>
        <w:numPr>
          <w:numId w:val="3"/>
          <w:ilvl w:val="1"/>
        </w:numPr>
        <w:jc w:val="both"/>
        <w:rPr>
          <w:rFonts w:ascii="Arial" w:hAnsi="Arial" w:cs="Arial"/>
          <w:sz w:val="20"/>
          <w:szCs w:val="20"/>
          <w:highlight w:val="white"/>
        </w:rPr>
      </w:pPr>
      <w:r>
        <w:rPr>
          <w:rFonts w:ascii="Arial" w:hAnsi="Arial" w:cs="Arial"/>
          <w:sz w:val="20"/>
          <w:szCs w:val="20"/>
          <w:highlight w:val="white"/>
        </w:rPr>
        <w:t xml:space="preserve">Исполнитель не позднее 5-го числа месяца, следующего за календарным кварталом, направляет в адрес Заказчика оформленный со своей стороны акт с</w:t>
      </w:r>
      <w:r>
        <w:rPr>
          <w:rFonts w:ascii="Arial" w:hAnsi="Arial" w:cs="Arial"/>
          <w:sz w:val="20"/>
          <w:szCs w:val="20"/>
          <w:highlight w:val="white"/>
        </w:rPr>
        <w:t xml:space="preserve">верки. Заказчик в течение 5 (пяти) календарных дней с момента получения акта сверки производит сверку расчетов между Сторонами, при необходимости оформляет протокол разногласий и возвращает Исполнителю 1 (один) экземпляр надлежаще оформленного акта сверки.</w:t>
      </w:r>
      <w:r>
        <w:rPr>
          <w:rFonts w:ascii="Arial" w:hAnsi="Arial" w:cs="Arial"/>
          <w:sz w:val="20"/>
          <w:szCs w:val="20"/>
          <w:highlight w:val="white"/>
        </w:rPr>
      </w:r>
      <w:r>
        <w:rPr>
          <w:rFonts w:ascii="Arial" w:hAnsi="Arial" w:cs="Arial"/>
          <w:sz w:val="20"/>
          <w:szCs w:val="20"/>
          <w:highlight w:val="white"/>
        </w:rPr>
      </w:r>
    </w:p>
    <w:p>
      <w:pPr>
        <w:numPr>
          <w:numId w:val="3"/>
          <w:ilvl w:val="1"/>
        </w:numPr>
        <w:jc w:val="both"/>
        <w:rPr>
          <w:rFonts w:ascii="Arial" w:hAnsi="Arial" w:cs="Arial"/>
          <w:sz w:val="20"/>
          <w:szCs w:val="20"/>
          <w:highlight w:val="white"/>
        </w:rPr>
      </w:pPr>
      <w:r>
        <w:rPr>
          <w:rFonts w:ascii="Arial" w:hAnsi="Arial" w:cs="Arial"/>
          <w:sz w:val="20"/>
          <w:szCs w:val="20"/>
          <w:highlight w:val="white"/>
        </w:rPr>
        <w:t xml:space="preserve">Оплата по настоящему Договору производится в форме безналичного расчета путем перечисления денежных средств на расчетный счет Исполнителя, указанный в разделе </w:t>
      </w:r>
      <w:r>
        <w:rPr>
          <w:rFonts w:ascii="Arial" w:hAnsi="Arial" w:cs="Arial"/>
          <w:sz w:val="20"/>
          <w:szCs w:val="20"/>
          <w:highlight w:val="white"/>
        </w:rPr>
        <w:t xml:space="preserve">11 </w:t>
      </w:r>
      <w:r>
        <w:rPr>
          <w:rFonts w:ascii="Arial" w:hAnsi="Arial" w:cs="Arial"/>
          <w:sz w:val="20"/>
          <w:szCs w:val="20"/>
          <w:highlight w:val="white"/>
        </w:rPr>
        <w:t xml:space="preserve">настоящего Договора, в течение 30 (Тридцати) календарных дней с даты подписания Заказчиком  Акта оказанных услуг (или УПД) на основании выставленных оригиналов  счета-фактуры, документов, подтверждающих факт оказания услуг</w:t>
      </w:r>
      <w:r>
        <w:rPr>
          <w:rFonts w:ascii="Arial" w:hAnsi="Arial" w:cs="Arial"/>
          <w:sz w:val="20"/>
          <w:szCs w:val="20"/>
          <w:highlight w:val="white"/>
        </w:rPr>
        <w:t xml:space="preserve">. </w:t>
      </w:r>
      <w:r>
        <w:rPr>
          <w:rFonts w:ascii="Arial" w:hAnsi="Arial" w:cs="Arial"/>
          <w:sz w:val="20"/>
          <w:szCs w:val="20"/>
          <w:highlight w:val="white"/>
        </w:rPr>
      </w:r>
      <w:r>
        <w:rPr>
          <w:rFonts w:ascii="Arial" w:hAnsi="Arial" w:cs="Arial"/>
          <w:sz w:val="20"/>
          <w:szCs w:val="20"/>
          <w:highlight w:val="white"/>
        </w:rPr>
      </w:r>
    </w:p>
    <w:p>
      <w:pPr>
        <w:numPr>
          <w:numId w:val="3"/>
          <w:ilvl w:val="1"/>
        </w:numPr>
        <w:jc w:val="both"/>
        <w:rPr>
          <w:rFonts w:ascii="Arial" w:hAnsi="Arial" w:cs="Arial"/>
          <w:sz w:val="20"/>
          <w:szCs w:val="20"/>
          <w:highlight w:val="white"/>
        </w:rPr>
      </w:pPr>
      <w:r>
        <w:rPr>
          <w:rFonts w:ascii="Arial" w:hAnsi="Arial" w:cs="Arial"/>
          <w:sz w:val="20"/>
          <w:szCs w:val="20"/>
          <w:highlight w:val="white"/>
        </w:rPr>
        <w:t xml:space="preserve">По истечении вышеуказанного срока услуги, оказанные Исполнителем, считаются оказанными своевременно и в полном объеме. </w:t>
      </w:r>
      <w:r>
        <w:rPr>
          <w:rFonts w:ascii="Arial" w:hAnsi="Arial" w:cs="Arial"/>
          <w:sz w:val="20"/>
          <w:szCs w:val="20"/>
          <w:highlight w:val="white"/>
        </w:rPr>
      </w:r>
      <w:r>
        <w:rPr>
          <w:rFonts w:ascii="Arial" w:hAnsi="Arial" w:cs="Arial"/>
          <w:sz w:val="20"/>
          <w:szCs w:val="20"/>
          <w:highlight w:val="white"/>
        </w:rPr>
      </w:r>
    </w:p>
    <w:p>
      <w:pPr>
        <w:numPr>
          <w:numId w:val="3"/>
          <w:ilvl w:val="1"/>
        </w:numPr>
        <w:jc w:val="both"/>
        <w:rPr>
          <w:rFonts w:ascii="Arial" w:hAnsi="Arial" w:cs="Arial"/>
          <w:sz w:val="20"/>
          <w:szCs w:val="20"/>
          <w:highlight w:val="white"/>
        </w:rPr>
      </w:pPr>
      <w:r>
        <w:rPr>
          <w:rFonts w:ascii="Arial" w:hAnsi="Arial" w:cs="Arial"/>
          <w:sz w:val="20"/>
          <w:szCs w:val="20"/>
          <w:highlight w:val="white"/>
        </w:rPr>
        <w:t xml:space="preserve">Валютой платежа является российский рубль.</w:t>
      </w:r>
      <w:r>
        <w:rPr>
          <w:rFonts w:ascii="Arial" w:hAnsi="Arial" w:cs="Arial"/>
          <w:sz w:val="20"/>
          <w:szCs w:val="20"/>
          <w:highlight w:val="white"/>
        </w:rPr>
      </w:r>
      <w:r>
        <w:rPr>
          <w:rFonts w:ascii="Arial" w:hAnsi="Arial" w:cs="Arial"/>
          <w:sz w:val="20"/>
          <w:szCs w:val="20"/>
          <w:highlight w:val="white"/>
        </w:rPr>
      </w:r>
    </w:p>
    <w:p>
      <w:pPr>
        <w:jc w:val="both"/>
        <w:rPr>
          <w:rFonts w:ascii="Arial" w:hAnsi="Arial" w:cs="Arial"/>
          <w:sz w:val="20"/>
          <w:szCs w:val="20"/>
          <w:highlight w:val="white"/>
        </w:rPr>
      </w:pPr>
      <w:r>
        <w:rPr>
          <w:sz w:val="20"/>
          <w:szCs w:val="20"/>
          <w:highlight w:val="white"/>
        </w:rPr>
      </w:r>
      <w:bookmarkStart w:id="10" w:name="Par527"/>
      <w:r>
        <w:rPr>
          <w:sz w:val="20"/>
          <w:szCs w:val="20"/>
          <w:highlight w:val="white"/>
        </w:rPr>
      </w:r>
      <w:bookmarkStart w:id="11" w:name="Par2196"/>
      <w:r>
        <w:rPr>
          <w:sz w:val="20"/>
          <w:szCs w:val="20"/>
          <w:highlight w:val="white"/>
        </w:rPr>
      </w:r>
      <w:bookmarkEnd w:id="10"/>
      <w:r>
        <w:rPr>
          <w:sz w:val="20"/>
          <w:szCs w:val="20"/>
          <w:highlight w:val="white"/>
        </w:rPr>
      </w:r>
      <w:bookmarkEnd w:id="11"/>
      <w:r>
        <w:rPr>
          <w:rFonts w:ascii="Arial" w:hAnsi="Arial" w:cs="Arial"/>
          <w:sz w:val="20"/>
          <w:szCs w:val="20"/>
          <w:highlight w:val="white"/>
        </w:rPr>
      </w:r>
      <w:r>
        <w:rPr>
          <w:rFonts w:ascii="Arial" w:hAnsi="Arial" w:cs="Arial"/>
          <w:sz w:val="20"/>
          <w:szCs w:val="20"/>
          <w:highlight w:val="white"/>
        </w:rPr>
      </w:r>
    </w:p>
    <w:p>
      <w:pPr>
        <w:numPr>
          <w:numId w:val="3"/>
          <w:ilvl w:val="0"/>
        </w:numPr>
        <w:jc w:val="center"/>
        <w:rPr>
          <w:rFonts w:ascii="Arial" w:hAnsi="Arial" w:cs="Arial"/>
          <w:sz w:val="20"/>
          <w:szCs w:val="20"/>
          <w:highlight w:val="white"/>
        </w:rPr>
      </w:pPr>
      <w:r>
        <w:rPr>
          <w:rFonts w:ascii="Arial" w:hAnsi="Arial" w:cs="Arial"/>
          <w:sz w:val="20"/>
          <w:szCs w:val="20"/>
          <w:highlight w:val="white"/>
        </w:rPr>
        <w:t xml:space="preserve">СРОК ДЕЙСТВИЯ ДОГОВОРА</w:t>
      </w:r>
      <w:bookmarkStart w:id="12" w:name="Par529"/>
      <w:r>
        <w:rPr>
          <w:sz w:val="20"/>
          <w:szCs w:val="20"/>
          <w:highlight w:val="white"/>
        </w:rPr>
      </w:r>
      <w:bookmarkStart w:id="13" w:name="Par2198"/>
      <w:r>
        <w:rPr>
          <w:sz w:val="20"/>
          <w:szCs w:val="20"/>
          <w:highlight w:val="white"/>
        </w:rPr>
      </w:r>
      <w:bookmarkEnd w:id="12"/>
      <w:r>
        <w:rPr>
          <w:sz w:val="20"/>
          <w:szCs w:val="20"/>
          <w:highlight w:val="white"/>
        </w:rPr>
      </w:r>
      <w:bookmarkEnd w:id="13"/>
      <w:r>
        <w:rPr>
          <w:rFonts w:ascii="Arial" w:hAnsi="Arial" w:cs="Arial"/>
          <w:sz w:val="20"/>
          <w:szCs w:val="20"/>
          <w:highlight w:val="white"/>
        </w:rPr>
      </w:r>
      <w:r>
        <w:rPr>
          <w:rFonts w:ascii="Arial" w:hAnsi="Arial" w:cs="Arial"/>
          <w:sz w:val="20"/>
          <w:szCs w:val="20"/>
          <w:highlight w:val="white"/>
        </w:rPr>
      </w:r>
    </w:p>
    <w:p>
      <w:pPr>
        <w:numPr>
          <w:numId w:val="3"/>
          <w:ilvl w:val="1"/>
        </w:numPr>
        <w:jc w:val="both"/>
        <w:rPr>
          <w:rFonts w:ascii="Arial" w:hAnsi="Arial" w:cs="Arial"/>
          <w:sz w:val="20"/>
          <w:szCs w:val="20"/>
          <w:highlight w:val="white"/>
        </w:rPr>
      </w:pPr>
      <w:r>
        <w:rPr>
          <w:rFonts w:ascii="Arial" w:hAnsi="Arial" w:cs="Arial"/>
          <w:sz w:val="20"/>
          <w:szCs w:val="20"/>
          <w:highlight w:val="white"/>
        </w:rPr>
        <w:t xml:space="preserve">Настоящий Договор вступает в силу с 01 января</w:t>
      </w:r>
      <w:bookmarkStart w:id="14" w:name="_GoBack"/>
      <w:r>
        <w:rPr>
          <w:sz w:val="20"/>
          <w:szCs w:val="20"/>
          <w:highlight w:val="white"/>
        </w:rPr>
      </w:r>
      <w:bookmarkEnd w:id="14"/>
      <w:r>
        <w:rPr>
          <w:rFonts w:ascii="Arial" w:hAnsi="Arial" w:cs="Arial"/>
          <w:sz w:val="20"/>
          <w:szCs w:val="20"/>
          <w:highlight w:val="white"/>
        </w:rPr>
        <w:t xml:space="preserve"> 2026</w:t>
      </w:r>
      <w:r>
        <w:rPr>
          <w:rFonts w:ascii="Arial" w:hAnsi="Arial" w:cs="Arial"/>
          <w:sz w:val="20"/>
          <w:szCs w:val="20"/>
          <w:highlight w:val="white"/>
        </w:rPr>
        <w:t xml:space="preserve"> г. </w:t>
      </w:r>
      <w:r>
        <w:rPr>
          <w:rFonts w:ascii="Arial" w:hAnsi="Arial" w:cs="Arial"/>
          <w:sz w:val="20"/>
          <w:szCs w:val="20"/>
          <w:highlight w:val="white"/>
        </w:rPr>
        <w:t xml:space="preserve">и заканчивает свое действие</w:t>
      </w:r>
      <w:r>
        <w:rPr>
          <w:rFonts w:ascii="Arial" w:hAnsi="Arial" w:cs="Arial"/>
          <w:sz w:val="20"/>
          <w:szCs w:val="20"/>
          <w:highlight w:val="white"/>
        </w:rPr>
        <w:t xml:space="preserve"> 31 декабря 202</w:t>
      </w:r>
      <w:r>
        <w:rPr>
          <w:rFonts w:ascii="Arial" w:hAnsi="Arial" w:cs="Arial"/>
          <w:sz w:val="20"/>
          <w:szCs w:val="20"/>
          <w:highlight w:val="white"/>
        </w:rPr>
        <w:t xml:space="preserve">6</w:t>
      </w:r>
      <w:r>
        <w:rPr>
          <w:rFonts w:ascii="Arial" w:hAnsi="Arial" w:cs="Arial"/>
          <w:sz w:val="20"/>
          <w:szCs w:val="20"/>
          <w:highlight w:val="white"/>
        </w:rPr>
        <w:t xml:space="preserve"> г.</w:t>
      </w:r>
      <w:r>
        <w:rPr>
          <w:rFonts w:ascii="Arial" w:hAnsi="Arial" w:cs="Arial"/>
          <w:sz w:val="20"/>
          <w:szCs w:val="20"/>
          <w:highlight w:val="white"/>
        </w:rPr>
      </w:r>
      <w:r>
        <w:rPr>
          <w:rFonts w:ascii="Arial" w:hAnsi="Arial" w:cs="Arial"/>
          <w:sz w:val="20"/>
          <w:szCs w:val="20"/>
          <w:highlight w:val="white"/>
        </w:rPr>
      </w:r>
    </w:p>
    <w:p>
      <w:pPr>
        <w:numPr>
          <w:numId w:val="3"/>
          <w:ilvl w:val="1"/>
        </w:numPr>
        <w:jc w:val="both"/>
        <w:rPr>
          <w:rFonts w:ascii="Arial" w:hAnsi="Arial" w:cs="Arial"/>
          <w:sz w:val="20"/>
          <w:szCs w:val="20"/>
          <w:highlight w:val="white"/>
        </w:rPr>
      </w:pPr>
      <w:r>
        <w:rPr>
          <w:rFonts w:ascii="Arial" w:hAnsi="Arial" w:cs="Arial"/>
          <w:sz w:val="20"/>
          <w:szCs w:val="20"/>
          <w:highlight w:val="white"/>
        </w:rPr>
        <w:t xml:space="preserve">Все изменения к настоящему Договору и дополнения к нему будут действительны при условии, если они совершены в письменной форме и подписаны Исполнителем и Заказчиком.</w:t>
      </w:r>
      <w:r>
        <w:rPr>
          <w:rFonts w:ascii="Arial" w:hAnsi="Arial" w:cs="Arial"/>
          <w:sz w:val="20"/>
          <w:szCs w:val="20"/>
          <w:highlight w:val="white"/>
        </w:rPr>
      </w:r>
      <w:r>
        <w:rPr>
          <w:rFonts w:ascii="Arial" w:hAnsi="Arial" w:cs="Arial"/>
          <w:sz w:val="20"/>
          <w:szCs w:val="20"/>
          <w:highlight w:val="white"/>
        </w:rPr>
      </w:r>
    </w:p>
    <w:p>
      <w:pPr>
        <w:numPr>
          <w:numId w:val="3"/>
          <w:ilvl w:val="1"/>
        </w:numPr>
        <w:jc w:val="both"/>
        <w:rPr>
          <w:rFonts w:ascii="Arial" w:hAnsi="Arial" w:cs="Arial"/>
          <w:sz w:val="20"/>
          <w:szCs w:val="20"/>
          <w:highlight w:val="white"/>
        </w:rPr>
      </w:pPr>
      <w:r>
        <w:rPr>
          <w:rFonts w:ascii="Arial" w:hAnsi="Arial" w:cs="Arial"/>
          <w:sz w:val="20"/>
          <w:szCs w:val="20"/>
          <w:highlight w:val="white"/>
        </w:rPr>
        <w:t xml:space="preserve">Заказчик имеет право расторгнуть настоящий Договор до истечения срока его действия, письменно уведомив об этом Исполнителя не менее чем за 30 дней до планируемого отказа от услуг, при условии оплаты уже оказанных Исполнителем услуг.</w:t>
      </w:r>
      <w:r>
        <w:rPr>
          <w:rFonts w:ascii="Arial" w:hAnsi="Arial" w:cs="Arial"/>
          <w:sz w:val="20"/>
          <w:szCs w:val="20"/>
          <w:highlight w:val="white"/>
        </w:rPr>
      </w:r>
      <w:r>
        <w:rPr>
          <w:rFonts w:ascii="Arial" w:hAnsi="Arial" w:cs="Arial"/>
          <w:sz w:val="20"/>
          <w:szCs w:val="20"/>
          <w:highlight w:val="white"/>
        </w:rPr>
      </w:r>
    </w:p>
    <w:p>
      <w:pPr>
        <w:numPr>
          <w:numId w:val="3"/>
          <w:ilvl w:val="1"/>
        </w:numPr>
        <w:jc w:val="both"/>
        <w:rPr>
          <w:rFonts w:ascii="Arial" w:hAnsi="Arial" w:cs="Arial"/>
          <w:sz w:val="20"/>
          <w:szCs w:val="20"/>
          <w:highlight w:val="white"/>
        </w:rPr>
      </w:pPr>
      <w:r>
        <w:rPr>
          <w:rFonts w:ascii="Arial" w:hAnsi="Arial" w:cs="Arial"/>
          <w:sz w:val="20"/>
          <w:szCs w:val="20"/>
          <w:highlight w:val="white"/>
        </w:rPr>
        <w:t xml:space="preserve">При нарушении Заказчиком сроков оплаты оказанных услуг (услуг по адаптации и сопровождению экземпляров Систем), Исполнитель имеет право приостановить оказание услуг, письменно уведомив об этом Заказчика за 5 дней. </w:t>
      </w:r>
      <w:r>
        <w:rPr>
          <w:rFonts w:ascii="Arial" w:hAnsi="Arial" w:cs="Arial"/>
          <w:sz w:val="20"/>
          <w:szCs w:val="20"/>
          <w:highlight w:val="white"/>
        </w:rPr>
      </w:r>
      <w:r>
        <w:rPr>
          <w:rFonts w:ascii="Arial" w:hAnsi="Arial" w:cs="Arial"/>
          <w:sz w:val="20"/>
          <w:szCs w:val="20"/>
          <w:highlight w:val="white"/>
        </w:rPr>
      </w:r>
    </w:p>
    <w:p>
      <w:pPr>
        <w:numPr>
          <w:numId w:val="3"/>
          <w:ilvl w:val="1"/>
        </w:numPr>
        <w:jc w:val="both"/>
        <w:rPr>
          <w:rFonts w:ascii="Arial" w:hAnsi="Arial" w:cs="Arial"/>
          <w:sz w:val="20"/>
          <w:szCs w:val="20"/>
          <w:highlight w:val="white"/>
        </w:rPr>
      </w:pPr>
      <w:r>
        <w:rPr>
          <w:rFonts w:ascii="Arial" w:hAnsi="Arial" w:cs="Arial"/>
          <w:sz w:val="20"/>
          <w:szCs w:val="20"/>
          <w:highlight w:val="white"/>
        </w:rPr>
        <w:t xml:space="preserve">Исполнитель имеет право приостановить действие настоящего Договора в случаях:</w:t>
      </w:r>
      <w:r>
        <w:rPr>
          <w:rFonts w:ascii="Arial" w:hAnsi="Arial" w:cs="Arial"/>
          <w:sz w:val="20"/>
          <w:szCs w:val="20"/>
          <w:highlight w:val="white"/>
        </w:rPr>
      </w:r>
      <w:r>
        <w:rPr>
          <w:rFonts w:ascii="Arial" w:hAnsi="Arial" w:cs="Arial"/>
          <w:sz w:val="20"/>
          <w:szCs w:val="20"/>
          <w:highlight w:val="white"/>
        </w:rPr>
      </w:r>
    </w:p>
    <w:p>
      <w:pPr>
        <w:pStyle w:val="920"/>
        <w:numPr>
          <w:numId w:val="3"/>
          <w:ilvl w:val="2"/>
        </w:numPr>
        <w:jc w:val="both"/>
        <w:rPr>
          <w:sz w:val="20"/>
          <w:szCs w:val="20"/>
          <w:highlight w:val="white"/>
        </w:rPr>
      </w:pPr>
      <w:r>
        <w:rPr>
          <w:sz w:val="20"/>
          <w:szCs w:val="20"/>
          <w:highlight w:val="white"/>
        </w:rPr>
        <w:t xml:space="preserve">Внесения Заказчиком изменений в средства программной защиты Системы, приводящих к ее декомпилированию или модификации;</w:t>
      </w:r>
      <w:r>
        <w:rPr>
          <w:sz w:val="20"/>
          <w:szCs w:val="20"/>
          <w:highlight w:val="white"/>
        </w:rPr>
      </w:r>
      <w:r>
        <w:rPr>
          <w:sz w:val="20"/>
          <w:szCs w:val="20"/>
          <w:highlight w:val="white"/>
        </w:rPr>
      </w:r>
    </w:p>
    <w:p>
      <w:pPr>
        <w:pStyle w:val="920"/>
        <w:numPr>
          <w:numId w:val="3"/>
          <w:ilvl w:val="2"/>
        </w:numPr>
        <w:jc w:val="both"/>
        <w:rPr>
          <w:sz w:val="20"/>
          <w:szCs w:val="20"/>
          <w:highlight w:val="white"/>
        </w:rPr>
      </w:pPr>
      <w:r>
        <w:rPr>
          <w:sz w:val="20"/>
          <w:szCs w:val="20"/>
          <w:highlight w:val="white"/>
        </w:rPr>
        <w:t xml:space="preserve">Изготовления, воспроизведения, распространения (любым способом) Заказчиком контрафактных экземпляров Систем</w:t>
      </w:r>
      <w:r>
        <w:rPr>
          <w:sz w:val="20"/>
          <w:szCs w:val="20"/>
          <w:highlight w:val="white"/>
        </w:rPr>
        <w:t xml:space="preserve">;</w:t>
      </w:r>
      <w:r>
        <w:rPr>
          <w:sz w:val="20"/>
          <w:szCs w:val="20"/>
          <w:highlight w:val="white"/>
        </w:rPr>
      </w:r>
      <w:r>
        <w:rPr>
          <w:sz w:val="20"/>
          <w:szCs w:val="20"/>
          <w:highlight w:val="white"/>
        </w:rPr>
      </w:r>
    </w:p>
    <w:p>
      <w:pPr>
        <w:pStyle w:val="920"/>
        <w:numPr>
          <w:numId w:val="3"/>
          <w:ilvl w:val="2"/>
        </w:numPr>
        <w:jc w:val="both"/>
        <w:rPr>
          <w:sz w:val="20"/>
          <w:szCs w:val="20"/>
          <w:highlight w:val="white"/>
        </w:rPr>
      </w:pPr>
      <w:r>
        <w:rPr>
          <w:sz w:val="20"/>
          <w:szCs w:val="20"/>
          <w:highlight w:val="white"/>
        </w:rPr>
        <w:t xml:space="preserve">В иных случаях, </w:t>
      </w:r>
      <w:r>
        <w:rPr>
          <w:sz w:val="20"/>
          <w:szCs w:val="20"/>
          <w:highlight w:val="white"/>
        </w:rPr>
        <w:t xml:space="preserve">установленных</w:t>
      </w:r>
      <w:r>
        <w:rPr>
          <w:sz w:val="20"/>
          <w:szCs w:val="20"/>
          <w:highlight w:val="white"/>
        </w:rPr>
        <w:t xml:space="preserve"> настоящим Договором</w:t>
      </w:r>
      <w:r>
        <w:rPr>
          <w:sz w:val="20"/>
          <w:szCs w:val="20"/>
          <w:highlight w:val="white"/>
        </w:rPr>
        <w:t xml:space="preserve">.</w:t>
      </w:r>
      <w:bookmarkStart w:id="15" w:name="Par543"/>
      <w:r>
        <w:rPr>
          <w:sz w:val="20"/>
          <w:szCs w:val="20"/>
          <w:highlight w:val="white"/>
        </w:rPr>
      </w:r>
      <w:bookmarkStart w:id="16" w:name="Par2212"/>
      <w:r>
        <w:rPr>
          <w:sz w:val="20"/>
          <w:szCs w:val="20"/>
          <w:highlight w:val="white"/>
        </w:rPr>
      </w:r>
      <w:bookmarkEnd w:id="15"/>
      <w:r>
        <w:rPr>
          <w:sz w:val="20"/>
          <w:szCs w:val="20"/>
          <w:highlight w:val="white"/>
        </w:rPr>
      </w:r>
      <w:bookmarkEnd w:id="16"/>
      <w:r>
        <w:rPr>
          <w:sz w:val="20"/>
          <w:szCs w:val="20"/>
          <w:highlight w:val="white"/>
        </w:rPr>
      </w:r>
      <w:r>
        <w:rPr>
          <w:sz w:val="20"/>
          <w:szCs w:val="20"/>
          <w:highlight w:val="white"/>
        </w:rPr>
      </w:r>
    </w:p>
    <w:p>
      <w:pPr>
        <w:pStyle w:val="920"/>
        <w:ind w:firstLine="0"/>
        <w:jc w:val="both"/>
        <w:rPr>
          <w:sz w:val="20"/>
          <w:szCs w:val="20"/>
          <w:highlight w:val="white"/>
        </w:rPr>
      </w:pPr>
      <w:r>
        <w:rPr>
          <w:sz w:val="20"/>
          <w:szCs w:val="20"/>
          <w:highlight w:val="white"/>
        </w:rPr>
      </w:r>
      <w:r>
        <w:rPr>
          <w:sz w:val="20"/>
          <w:szCs w:val="20"/>
          <w:highlight w:val="white"/>
        </w:rPr>
      </w:r>
      <w:r>
        <w:rPr>
          <w:sz w:val="20"/>
          <w:szCs w:val="20"/>
          <w:highlight w:val="white"/>
        </w:rPr>
      </w:r>
    </w:p>
    <w:p>
      <w:pPr>
        <w:numPr>
          <w:numId w:val="3"/>
          <w:ilvl w:val="0"/>
        </w:numPr>
        <w:jc w:val="center"/>
        <w:rPr>
          <w:rFonts w:ascii="Arial" w:hAnsi="Arial" w:cs="Arial"/>
          <w:sz w:val="20"/>
          <w:szCs w:val="20"/>
          <w:highlight w:val="white"/>
        </w:rPr>
      </w:pPr>
      <w:r>
        <w:rPr>
          <w:rFonts w:ascii="Arial" w:hAnsi="Arial" w:cs="Arial"/>
          <w:sz w:val="20"/>
          <w:szCs w:val="20"/>
          <w:highlight w:val="white"/>
        </w:rPr>
        <w:t xml:space="preserve">ОТВЕТСТВЕННОСТЬ СТОРОН</w:t>
      </w:r>
      <w:bookmarkStart w:id="17" w:name="Par536"/>
      <w:r>
        <w:rPr>
          <w:sz w:val="20"/>
          <w:szCs w:val="20"/>
          <w:highlight w:val="white"/>
        </w:rPr>
      </w:r>
      <w:bookmarkStart w:id="18" w:name="Par2205"/>
      <w:r>
        <w:rPr>
          <w:sz w:val="20"/>
          <w:szCs w:val="20"/>
          <w:highlight w:val="white"/>
        </w:rPr>
      </w:r>
      <w:bookmarkEnd w:id="17"/>
      <w:r>
        <w:rPr>
          <w:sz w:val="20"/>
          <w:szCs w:val="20"/>
          <w:highlight w:val="white"/>
        </w:rPr>
      </w:r>
      <w:bookmarkEnd w:id="18"/>
      <w:r>
        <w:rPr>
          <w:rFonts w:ascii="Arial" w:hAnsi="Arial" w:cs="Arial"/>
          <w:sz w:val="20"/>
          <w:szCs w:val="20"/>
          <w:highlight w:val="white"/>
        </w:rPr>
      </w:r>
      <w:r>
        <w:rPr>
          <w:rFonts w:ascii="Arial" w:hAnsi="Arial" w:cs="Arial"/>
          <w:sz w:val="20"/>
          <w:szCs w:val="20"/>
          <w:highlight w:val="white"/>
        </w:rPr>
      </w:r>
    </w:p>
    <w:p>
      <w:pPr>
        <w:pStyle w:val="920"/>
        <w:numPr>
          <w:numId w:val="3"/>
          <w:ilvl w:val="1"/>
        </w:numPr>
        <w:jc w:val="both"/>
        <w:rPr>
          <w:sz w:val="20"/>
          <w:szCs w:val="20"/>
          <w:highlight w:val="white"/>
        </w:rPr>
      </w:pPr>
      <w:r>
        <w:rPr>
          <w:sz w:val="20"/>
          <w:szCs w:val="20"/>
          <w:highlight w:val="white"/>
        </w:rPr>
        <w:t xml:space="preserve">В случае если у Заказчика возникнут обоснованные претензии к Системе в частях качества включенной в нее информации и/или некорректной работы программных средств и/или иной предоставленной информации и материалов, подготовленных Исполни</w:t>
      </w:r>
      <w:r>
        <w:rPr>
          <w:sz w:val="20"/>
          <w:szCs w:val="20"/>
          <w:highlight w:val="white"/>
        </w:rPr>
        <w:t xml:space="preserve">телем с использованием экземпляра Системы, Исполнитель обязуется рассмотреть Претензию Заказчика </w:t>
      </w:r>
      <w:r>
        <w:rPr>
          <w:sz w:val="20"/>
          <w:szCs w:val="20"/>
          <w:highlight w:val="white"/>
        </w:rPr>
        <w:t xml:space="preserve">в течение 15 (пятнадцати) дней</w:t>
      </w:r>
      <w:r>
        <w:rPr>
          <w:sz w:val="20"/>
          <w:szCs w:val="20"/>
          <w:highlight w:val="white"/>
        </w:rPr>
        <w:t xml:space="preserve"> с момента ее получения. Претензии принимаются Исполнителем только в оплаченном периоде пополнения экземпляров Системы. В случае </w:t>
      </w:r>
      <w:r>
        <w:rPr>
          <w:sz w:val="20"/>
          <w:szCs w:val="20"/>
          <w:highlight w:val="white"/>
        </w:rPr>
        <w:t xml:space="preserve">признания Претензии</w:t>
      </w:r>
      <w:r>
        <w:rPr>
          <w:sz w:val="20"/>
          <w:szCs w:val="20"/>
          <w:highlight w:val="white"/>
        </w:rPr>
        <w:t xml:space="preserve"> обоснованной Исполнитель обязан устранить недостатки в разумный срок. В случае </w:t>
      </w:r>
      <w:r>
        <w:rPr>
          <w:sz w:val="20"/>
          <w:szCs w:val="20"/>
          <w:highlight w:val="white"/>
        </w:rPr>
        <w:t xml:space="preserve">неустранения</w:t>
      </w:r>
      <w:r>
        <w:rPr>
          <w:sz w:val="20"/>
          <w:szCs w:val="20"/>
          <w:highlight w:val="white"/>
        </w:rPr>
        <w:t xml:space="preserve"> недостатков в указанный срок Заказчик будет вправе потребовать выплаты исключительной неустойки (штрафа) в размере, не превышающем стоимости одного месяца услуг по сопровождению соответствующего экземпляра Систе</w:t>
      </w:r>
      <w:r>
        <w:rPr>
          <w:sz w:val="20"/>
          <w:szCs w:val="20"/>
          <w:highlight w:val="white"/>
        </w:rPr>
        <w:t xml:space="preserve">мы, в котором не устранены недостатки и/или досрочного расторжения настоящего Договора путем составления дополнительной Претензии. Исполнитель обязуется в пятнадцатидневный срок со дня получения дополнительной Претензии письменно ответить на нее. В случае </w:t>
      </w:r>
      <w:r>
        <w:rPr>
          <w:sz w:val="20"/>
          <w:szCs w:val="20"/>
          <w:highlight w:val="white"/>
        </w:rPr>
        <w:t xml:space="preserve">признания дополнительной Претензии Заказчика</w:t>
      </w:r>
      <w:r>
        <w:rPr>
          <w:sz w:val="20"/>
          <w:szCs w:val="20"/>
          <w:highlight w:val="white"/>
        </w:rPr>
        <w:t xml:space="preserve"> обоснованной Исполнитель обязан в зависимости от требований Заказчика перечислить Заказчику исключительную неустойку (штраф) и/или расторгнуть настоящий Договор.</w:t>
      </w:r>
      <w:r>
        <w:rPr>
          <w:sz w:val="20"/>
          <w:szCs w:val="20"/>
          <w:highlight w:val="white"/>
        </w:rPr>
      </w:r>
      <w:r>
        <w:rPr>
          <w:sz w:val="20"/>
          <w:szCs w:val="20"/>
          <w:highlight w:val="white"/>
        </w:rPr>
      </w:r>
    </w:p>
    <w:p>
      <w:pPr>
        <w:pStyle w:val="920"/>
        <w:numPr>
          <w:numId w:val="3"/>
          <w:ilvl w:val="1"/>
        </w:numPr>
        <w:jc w:val="both"/>
        <w:rPr>
          <w:strike/>
          <w:sz w:val="20"/>
          <w:szCs w:val="20"/>
          <w:highlight w:val="white"/>
          <w:shd w:val="clear" w:color="auto" w:fill="ff99cc"/>
        </w:rPr>
      </w:pPr>
      <w:r>
        <w:rPr>
          <w:sz w:val="20"/>
          <w:szCs w:val="20"/>
          <w:highlight w:val="white"/>
        </w:rPr>
        <w:t xml:space="preserve">Исполнитель не несет ответственности за качество отключенного от сопровождения экземпляра Системы.</w:t>
      </w:r>
      <w:r>
        <w:rPr>
          <w:strike/>
          <w:sz w:val="20"/>
          <w:szCs w:val="20"/>
          <w:highlight w:val="white"/>
          <w:shd w:val="clear" w:color="auto" w:fill="ff99cc"/>
        </w:rPr>
      </w:r>
      <w:r>
        <w:rPr>
          <w:strike/>
          <w:sz w:val="20"/>
          <w:szCs w:val="20"/>
          <w:highlight w:val="white"/>
          <w:shd w:val="clear" w:color="auto" w:fill="ff99cc"/>
        </w:rPr>
      </w:r>
    </w:p>
    <w:p>
      <w:pPr>
        <w:pStyle w:val="920"/>
        <w:widowControl/>
        <w:numPr>
          <w:numId w:val="3"/>
          <w:ilvl w:val="1"/>
        </w:numPr>
        <w:tabs>
          <w:tab w:val="left" w:pos="426" w:leader="none"/>
        </w:tabs>
        <w:contextualSpacing/>
        <w:jc w:val="both"/>
        <w:rPr>
          <w:sz w:val="20"/>
          <w:szCs w:val="20"/>
          <w:highlight w:val="white"/>
        </w:rPr>
      </w:pPr>
      <w:r>
        <w:rPr>
          <w:sz w:val="20"/>
          <w:szCs w:val="20"/>
          <w:highlight w:val="white"/>
        </w:rPr>
      </w:r>
      <w:bookmarkStart w:id="19" w:name="Par539"/>
      <w:r>
        <w:rPr>
          <w:sz w:val="20"/>
          <w:szCs w:val="20"/>
          <w:highlight w:val="white"/>
        </w:rPr>
      </w:r>
      <w:bookmarkStart w:id="20" w:name="Par2208"/>
      <w:r>
        <w:rPr>
          <w:sz w:val="20"/>
          <w:szCs w:val="20"/>
          <w:highlight w:val="white"/>
        </w:rPr>
      </w:r>
      <w:bookmarkEnd w:id="19"/>
      <w:r>
        <w:rPr>
          <w:sz w:val="20"/>
          <w:szCs w:val="20"/>
          <w:highlight w:val="white"/>
        </w:rPr>
      </w:r>
      <w:bookmarkEnd w:id="20"/>
      <w:r>
        <w:rPr>
          <w:sz w:val="20"/>
          <w:szCs w:val="20"/>
          <w:highlight w:val="white"/>
        </w:rPr>
        <w:t xml:space="preserve">Исполнитель не несет ответственности за невозможность исполнения своих обязательств перед Заказчи</w:t>
      </w:r>
      <w:r>
        <w:rPr>
          <w:sz w:val="20"/>
          <w:szCs w:val="20"/>
          <w:highlight w:val="white"/>
        </w:rPr>
        <w:t xml:space="preserve">ком по причине неполадок в работе компьютерного, телекоммуникационного оборудования или каналов связи Заказчика и/или третьих лиц (в том числе оборудования оператора, предоставляющего Заказчику услуги связи), а также в иных согласованных Сторонами случаях.</w:t>
      </w:r>
      <w:r>
        <w:rPr>
          <w:sz w:val="20"/>
          <w:szCs w:val="20"/>
          <w:highlight w:val="white"/>
        </w:rPr>
      </w:r>
      <w:r>
        <w:rPr>
          <w:sz w:val="20"/>
          <w:szCs w:val="20"/>
          <w:highlight w:val="white"/>
        </w:rPr>
      </w:r>
    </w:p>
    <w:p>
      <w:pPr>
        <w:pStyle w:val="920"/>
        <w:numPr>
          <w:numId w:val="3"/>
          <w:ilvl w:val="1"/>
        </w:numPr>
        <w:jc w:val="both"/>
        <w:rPr>
          <w:sz w:val="20"/>
          <w:szCs w:val="20"/>
          <w:highlight w:val="white"/>
        </w:rPr>
      </w:pPr>
      <w:r>
        <w:rPr>
          <w:sz w:val="20"/>
          <w:szCs w:val="20"/>
          <w:highlight w:val="white"/>
        </w:rPr>
        <w:t xml:space="preserve">Заказчик обязан оплачивать услуги Исполнителя, в том числе за периоды, в которы</w:t>
      </w:r>
      <w:r>
        <w:rPr>
          <w:sz w:val="20"/>
          <w:szCs w:val="20"/>
          <w:highlight w:val="white"/>
        </w:rPr>
        <w:t xml:space="preserve">х</w:t>
      </w:r>
      <w:r>
        <w:rPr>
          <w:sz w:val="20"/>
          <w:szCs w:val="20"/>
          <w:highlight w:val="white"/>
        </w:rPr>
        <w:t xml:space="preserve"> Заказчик фактически</w:t>
      </w:r>
      <w:r>
        <w:rPr>
          <w:sz w:val="20"/>
          <w:szCs w:val="20"/>
          <w:highlight w:val="white"/>
        </w:rPr>
        <w:t xml:space="preserve"> не использовал Системы по не зависящим от Исполнителя причинам</w:t>
      </w:r>
      <w:r>
        <w:rPr>
          <w:sz w:val="20"/>
          <w:szCs w:val="20"/>
          <w:highlight w:val="white"/>
        </w:rPr>
        <w:t xml:space="preserve">.</w:t>
      </w:r>
      <w:r>
        <w:rPr>
          <w:sz w:val="20"/>
          <w:szCs w:val="20"/>
          <w:highlight w:val="white"/>
        </w:rPr>
      </w:r>
      <w:r>
        <w:rPr>
          <w:sz w:val="20"/>
          <w:szCs w:val="20"/>
          <w:highlight w:val="white"/>
        </w:rPr>
      </w:r>
    </w:p>
    <w:p>
      <w:pPr>
        <w:pStyle w:val="931"/>
        <w:numPr>
          <w:numId w:val="3"/>
          <w:ilvl w:val="1"/>
        </w:numPr>
        <w:jc w:val="both"/>
        <w:rPr>
          <w:rFonts w:ascii="Arial" w:hAnsi="Arial" w:cs="Arial"/>
          <w:sz w:val="20"/>
          <w:szCs w:val="20"/>
          <w:highlight w:val="white"/>
        </w:rPr>
      </w:pPr>
      <w:r>
        <w:rPr>
          <w:rFonts w:ascii="Arial" w:hAnsi="Arial" w:cs="Arial"/>
          <w:sz w:val="20"/>
          <w:szCs w:val="20"/>
          <w:highlight w:val="white"/>
        </w:rPr>
        <w:t xml:space="preserve">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Российской Федерации.</w:t>
      </w:r>
      <w:r>
        <w:rPr>
          <w:rFonts w:ascii="Arial" w:hAnsi="Arial" w:cs="Arial"/>
          <w:sz w:val="20"/>
          <w:szCs w:val="20"/>
          <w:highlight w:val="white"/>
        </w:rPr>
      </w:r>
      <w:r>
        <w:rPr>
          <w:rFonts w:ascii="Arial" w:hAnsi="Arial" w:cs="Arial"/>
          <w:sz w:val="20"/>
          <w:szCs w:val="20"/>
          <w:highlight w:val="white"/>
        </w:rPr>
      </w:r>
    </w:p>
    <w:p>
      <w:pPr>
        <w:pStyle w:val="931"/>
        <w:numPr>
          <w:numId w:val="3"/>
          <w:ilvl w:val="1"/>
        </w:numPr>
        <w:jc w:val="both"/>
        <w:rPr>
          <w:rFonts w:ascii="Arial" w:hAnsi="Arial" w:cs="Arial"/>
          <w:sz w:val="20"/>
          <w:szCs w:val="20"/>
          <w:highlight w:val="white"/>
        </w:rPr>
      </w:pPr>
      <w:r>
        <w:rPr>
          <w:rFonts w:ascii="Arial" w:hAnsi="Arial" w:cs="Arial"/>
          <w:sz w:val="20"/>
          <w:szCs w:val="20"/>
          <w:highlight w:val="white"/>
        </w:rPr>
        <w:t xml:space="preserve">За нарушение Исполнителем сроков исполнения обязательств по предоставлению оригиналов документов в соответствии с пунктами </w:t>
      </w:r>
      <w:r>
        <w:rPr>
          <w:rFonts w:ascii="Arial" w:hAnsi="Arial" w:cs="Arial"/>
          <w:sz w:val="20"/>
          <w:szCs w:val="20"/>
          <w:highlight w:val="white"/>
        </w:rPr>
        <w:t xml:space="preserve">5</w:t>
      </w:r>
      <w:r>
        <w:rPr>
          <w:rFonts w:ascii="Arial" w:hAnsi="Arial" w:cs="Arial"/>
          <w:sz w:val="20"/>
          <w:szCs w:val="20"/>
          <w:highlight w:val="white"/>
        </w:rPr>
        <w:t xml:space="preserve">.3</w:t>
      </w:r>
      <w:r>
        <w:rPr>
          <w:rFonts w:ascii="Arial" w:hAnsi="Arial" w:cs="Arial"/>
          <w:sz w:val="20"/>
          <w:szCs w:val="20"/>
          <w:highlight w:val="white"/>
        </w:rPr>
        <w:t xml:space="preserve">, 5.8</w:t>
      </w:r>
      <w:r>
        <w:rPr>
          <w:rFonts w:ascii="Arial" w:hAnsi="Arial" w:cs="Arial"/>
          <w:sz w:val="20"/>
          <w:szCs w:val="20"/>
          <w:highlight w:val="white"/>
        </w:rPr>
        <w:t xml:space="preserve"> настоящего Договора Покупатель имеет право потребовать от Поставщика уплаты пен</w:t>
      </w:r>
      <w:r>
        <w:rPr>
          <w:rFonts w:ascii="Arial" w:hAnsi="Arial" w:cs="Arial"/>
          <w:sz w:val="20"/>
          <w:szCs w:val="20"/>
          <w:highlight w:val="white"/>
        </w:rPr>
        <w:t xml:space="preserve">и в размере 1/360 ставки рефинансирования ЦБ РФ от суммы неисполненного обязательства за каждый день просрочки. Стороны договорились, что в случае нарушения Исполнителем сроков исполнения обязательств по предоставлению документов в соответствии с пунктами </w:t>
      </w:r>
      <w:r>
        <w:rPr>
          <w:rFonts w:ascii="Arial" w:hAnsi="Arial" w:cs="Arial"/>
          <w:sz w:val="20"/>
          <w:szCs w:val="20"/>
          <w:highlight w:val="white"/>
        </w:rPr>
        <w:t xml:space="preserve">5</w:t>
      </w:r>
      <w:r>
        <w:rPr>
          <w:rFonts w:ascii="Arial" w:hAnsi="Arial" w:cs="Arial"/>
          <w:sz w:val="20"/>
          <w:szCs w:val="20"/>
          <w:highlight w:val="white"/>
        </w:rPr>
        <w:t xml:space="preserve">.3</w:t>
      </w:r>
      <w:r>
        <w:rPr>
          <w:rFonts w:ascii="Arial" w:hAnsi="Arial" w:cs="Arial"/>
          <w:sz w:val="20"/>
          <w:szCs w:val="20"/>
          <w:highlight w:val="white"/>
        </w:rPr>
        <w:t xml:space="preserve">, 5.8</w:t>
      </w:r>
      <w:r>
        <w:rPr>
          <w:rFonts w:ascii="Arial" w:hAnsi="Arial" w:cs="Arial"/>
          <w:sz w:val="20"/>
          <w:szCs w:val="20"/>
          <w:highlight w:val="white"/>
        </w:rPr>
        <w:t xml:space="preserve"> настоящего Договора для целей расчета пеней, указанных в настоящем пункте, суммой неисполненного Исполнителем обязательства считается сумма, которая должна быть указана в счете и/или документах, подтверждающих факт </w:t>
      </w:r>
      <w:r>
        <w:rPr>
          <w:rFonts w:ascii="Arial" w:hAnsi="Arial" w:cs="Arial"/>
          <w:sz w:val="20"/>
          <w:szCs w:val="20"/>
          <w:highlight w:val="white"/>
        </w:rPr>
        <w:t xml:space="preserve">оказания Услуг</w:t>
      </w:r>
      <w:r>
        <w:rPr>
          <w:rFonts w:ascii="Arial" w:hAnsi="Arial" w:cs="Arial"/>
          <w:sz w:val="20"/>
          <w:szCs w:val="20"/>
          <w:highlight w:val="white"/>
        </w:rPr>
        <w:t xml:space="preserve">.</w:t>
      </w:r>
      <w:r>
        <w:rPr>
          <w:rFonts w:ascii="Arial" w:hAnsi="Arial" w:cs="Arial"/>
          <w:sz w:val="20"/>
          <w:szCs w:val="20"/>
          <w:highlight w:val="white"/>
        </w:rPr>
      </w:r>
      <w:r>
        <w:rPr>
          <w:rFonts w:ascii="Arial" w:hAnsi="Arial" w:cs="Arial"/>
          <w:sz w:val="20"/>
          <w:szCs w:val="20"/>
          <w:highlight w:val="white"/>
        </w:rPr>
      </w:r>
    </w:p>
    <w:p>
      <w:pPr>
        <w:pStyle w:val="931"/>
        <w:numPr>
          <w:numId w:val="3"/>
          <w:ilvl w:val="1"/>
        </w:numPr>
        <w:jc w:val="both"/>
        <w:rPr>
          <w:rFonts w:ascii="Arial" w:hAnsi="Arial" w:cs="Arial"/>
          <w:sz w:val="20"/>
          <w:szCs w:val="20"/>
          <w:highlight w:val="white"/>
        </w:rPr>
      </w:pPr>
      <w:r>
        <w:rPr>
          <w:rFonts w:ascii="Arial" w:hAnsi="Arial" w:cs="Arial"/>
          <w:sz w:val="20"/>
          <w:szCs w:val="20"/>
          <w:highlight w:val="white"/>
        </w:rPr>
        <w:t xml:space="preserve">Исполнитель гара</w:t>
      </w:r>
      <w:r>
        <w:rPr>
          <w:rFonts w:ascii="Arial" w:hAnsi="Arial" w:cs="Arial"/>
          <w:sz w:val="20"/>
          <w:szCs w:val="20"/>
          <w:highlight w:val="white"/>
        </w:rPr>
        <w:t xml:space="preserve">нтирует наличие у него прав, необходимых для предоставления Заказчику Услуг в рамках настоящего Договора, в том числе подтверждает свое право на распоряжение интеллектуальной собственностью, являющейся результатом интеллектуальной деятельности Исполнителя.</w:t>
      </w:r>
      <w:r>
        <w:rPr>
          <w:rFonts w:ascii="Arial" w:hAnsi="Arial" w:cs="Arial"/>
          <w:sz w:val="20"/>
          <w:szCs w:val="20"/>
          <w:highlight w:val="white"/>
        </w:rPr>
      </w:r>
      <w:r>
        <w:rPr>
          <w:rFonts w:ascii="Arial" w:hAnsi="Arial" w:cs="Arial"/>
          <w:sz w:val="20"/>
          <w:szCs w:val="20"/>
          <w:highlight w:val="white"/>
        </w:rPr>
      </w:r>
    </w:p>
    <w:p>
      <w:pPr>
        <w:pStyle w:val="920"/>
        <w:numPr>
          <w:numId w:val="3"/>
          <w:ilvl w:val="1"/>
        </w:numPr>
        <w:jc w:val="both"/>
        <w:rPr>
          <w:sz w:val="20"/>
          <w:szCs w:val="20"/>
          <w:highlight w:val="white"/>
        </w:rPr>
      </w:pPr>
      <w:r>
        <w:rPr>
          <w:sz w:val="20"/>
          <w:szCs w:val="20"/>
          <w:highlight w:val="white"/>
        </w:rPr>
        <w:t xml:space="preserve">Исполнитель обязуется раскрыть Заказчику сведения о собственниках (номинальных влад</w:t>
      </w:r>
      <w:r>
        <w:rPr>
          <w:sz w:val="20"/>
          <w:szCs w:val="20"/>
          <w:highlight w:val="white"/>
        </w:rPr>
        <w:t xml:space="preserve">ельцах) долей Исполнителя по форме, предусмотренной Приложением № 3 к настоящему Договору, с указанием бенефициаров (в том числе конечного выгодоприобретателя/ бенефициара) и предоставлением подтверждающих документов на дату подписания настоящего Договора.</w:t>
      </w:r>
      <w:r>
        <w:rPr>
          <w:sz w:val="20"/>
          <w:szCs w:val="20"/>
          <w:highlight w:val="white"/>
        </w:rPr>
      </w:r>
      <w:r>
        <w:rPr>
          <w:sz w:val="20"/>
          <w:szCs w:val="20"/>
          <w:highlight w:val="white"/>
        </w:rPr>
      </w:r>
    </w:p>
    <w:p>
      <w:pPr>
        <w:pStyle w:val="931"/>
        <w:numPr>
          <w:numId w:val="3"/>
          <w:ilvl w:val="1"/>
        </w:numPr>
        <w:jc w:val="both"/>
        <w:rPr>
          <w:rFonts w:ascii="Arial" w:hAnsi="Arial" w:cs="Arial"/>
          <w:sz w:val="20"/>
          <w:szCs w:val="20"/>
          <w:highlight w:val="white"/>
        </w:rPr>
      </w:pPr>
      <w:r>
        <w:rPr>
          <w:rFonts w:ascii="Arial" w:hAnsi="Arial" w:cs="Arial"/>
          <w:sz w:val="20"/>
          <w:szCs w:val="20"/>
          <w:highlight w:val="white"/>
        </w:rPr>
        <w:t xml:space="preserve">В случае любых изменений сведений о собственниках (номинальных владельцах) долей Исполнителя, включая бенефициаров (в том числе конечного выгодоприобретателя/ бенефициара) Исполнитель обязуется в течение 5 (пяти) </w:t>
      </w:r>
      <w:r>
        <w:rPr>
          <w:rFonts w:ascii="Arial" w:hAnsi="Arial" w:cs="Arial"/>
          <w:sz w:val="20"/>
          <w:szCs w:val="20"/>
          <w:highlight w:val="white"/>
        </w:rPr>
        <w:t xml:space="preserve">рабочих </w:t>
      </w:r>
      <w:r>
        <w:rPr>
          <w:rFonts w:ascii="Arial" w:hAnsi="Arial" w:cs="Arial"/>
          <w:sz w:val="20"/>
          <w:szCs w:val="20"/>
          <w:highlight w:val="white"/>
        </w:rPr>
        <w:t xml:space="preserve">дней с даты наступле</w:t>
      </w:r>
      <w:r>
        <w:rPr>
          <w:rFonts w:ascii="Arial" w:hAnsi="Arial" w:cs="Arial"/>
          <w:sz w:val="20"/>
          <w:szCs w:val="20"/>
          <w:highlight w:val="white"/>
        </w:rPr>
        <w:t xml:space="preserve">ния таких изменений предоставить Заказчику актуализированные сведения. При раскрытии соответствующей информации Стороны обязуются производить обработку персональных данных в соответствии с Федеральным законом от 27.07.2006 № 152 ФЗ «О персональных данных».</w:t>
      </w:r>
      <w:r>
        <w:rPr>
          <w:rFonts w:ascii="Arial" w:hAnsi="Arial" w:cs="Arial"/>
          <w:sz w:val="20"/>
          <w:szCs w:val="20"/>
          <w:highlight w:val="white"/>
        </w:rPr>
      </w:r>
      <w:r>
        <w:rPr>
          <w:rFonts w:ascii="Arial" w:hAnsi="Arial" w:cs="Arial"/>
          <w:sz w:val="20"/>
          <w:szCs w:val="20"/>
          <w:highlight w:val="white"/>
        </w:rPr>
      </w:r>
    </w:p>
    <w:p>
      <w:pPr>
        <w:pStyle w:val="931"/>
        <w:numPr>
          <w:numId w:val="3"/>
          <w:ilvl w:val="1"/>
        </w:numPr>
        <w:jc w:val="both"/>
        <w:rPr>
          <w:rFonts w:ascii="Arial" w:hAnsi="Arial" w:cs="Arial"/>
          <w:sz w:val="20"/>
          <w:szCs w:val="20"/>
          <w:highlight w:val="white"/>
        </w:rPr>
      </w:pPr>
      <w:r>
        <w:rPr>
          <w:rFonts w:ascii="Arial" w:hAnsi="Arial" w:cs="Arial"/>
          <w:sz w:val="20"/>
          <w:szCs w:val="20"/>
          <w:highlight w:val="white"/>
        </w:rPr>
        <w:t xml:space="preserve">Положения пунктов </w:t>
      </w:r>
      <w:r>
        <w:rPr>
          <w:rFonts w:ascii="Arial" w:hAnsi="Arial" w:cs="Arial"/>
          <w:sz w:val="20"/>
          <w:szCs w:val="20"/>
          <w:highlight w:val="white"/>
        </w:rPr>
        <w:t xml:space="preserve">7</w:t>
      </w:r>
      <w:r>
        <w:rPr>
          <w:rFonts w:ascii="Arial" w:hAnsi="Arial" w:cs="Arial"/>
          <w:sz w:val="20"/>
          <w:szCs w:val="20"/>
          <w:highlight w:val="white"/>
        </w:rPr>
        <w:t xml:space="preserve">.</w:t>
      </w:r>
      <w:r>
        <w:rPr>
          <w:rFonts w:ascii="Arial" w:hAnsi="Arial" w:cs="Arial"/>
          <w:sz w:val="20"/>
          <w:szCs w:val="20"/>
          <w:highlight w:val="white"/>
        </w:rPr>
        <w:t xml:space="preserve">8</w:t>
      </w:r>
      <w:r>
        <w:rPr>
          <w:rFonts w:ascii="Arial" w:hAnsi="Arial" w:cs="Arial"/>
          <w:sz w:val="20"/>
          <w:szCs w:val="20"/>
          <w:highlight w:val="white"/>
        </w:rPr>
        <w:t xml:space="preserve">.-</w:t>
      </w:r>
      <w:r>
        <w:rPr>
          <w:rFonts w:ascii="Arial" w:hAnsi="Arial" w:cs="Arial"/>
          <w:sz w:val="20"/>
          <w:szCs w:val="20"/>
          <w:highlight w:val="white"/>
        </w:rPr>
        <w:t xml:space="preserve">7</w:t>
      </w:r>
      <w:r>
        <w:rPr>
          <w:rFonts w:ascii="Arial" w:hAnsi="Arial" w:cs="Arial"/>
          <w:sz w:val="20"/>
          <w:szCs w:val="20"/>
          <w:highlight w:val="white"/>
        </w:rPr>
        <w:t xml:space="preserve">.</w:t>
      </w:r>
      <w:r>
        <w:rPr>
          <w:rFonts w:ascii="Arial" w:hAnsi="Arial" w:cs="Arial"/>
          <w:sz w:val="20"/>
          <w:szCs w:val="20"/>
          <w:highlight w:val="white"/>
        </w:rPr>
        <w:t xml:space="preserve">9</w:t>
      </w:r>
      <w:r>
        <w:rPr>
          <w:rFonts w:ascii="Arial" w:hAnsi="Arial" w:cs="Arial"/>
          <w:sz w:val="20"/>
          <w:szCs w:val="20"/>
          <w:highlight w:val="white"/>
        </w:rPr>
        <w:t xml:space="preserve">. настоящего Договор</w:t>
      </w:r>
      <w:r>
        <w:rPr>
          <w:rFonts w:ascii="Arial" w:hAnsi="Arial" w:cs="Arial"/>
          <w:sz w:val="20"/>
          <w:szCs w:val="20"/>
          <w:highlight w:val="white"/>
        </w:rPr>
        <w:t xml:space="preserve">а Стороны признают существенным условием Договора. В случае невыполнения или ненадлежащего выполнения одной из Сторон обязательств, предусмотренных указанными пунктами Договора, другая Сторона вправе в одностороннем внесудебном порядке расторгнуть Договор </w:t>
      </w:r>
      <w:r>
        <w:rPr>
          <w:rFonts w:ascii="Arial" w:hAnsi="Arial" w:cs="Arial"/>
          <w:sz w:val="20"/>
          <w:szCs w:val="20"/>
          <w:highlight w:val="white"/>
        </w:rPr>
      </w:r>
      <w:r>
        <w:rPr>
          <w:rFonts w:ascii="Arial" w:hAnsi="Arial" w:cs="Arial"/>
          <w:sz w:val="20"/>
          <w:szCs w:val="20"/>
          <w:highlight w:val="white"/>
        </w:rPr>
      </w:r>
    </w:p>
    <w:p>
      <w:pPr>
        <w:jc w:val="both"/>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p>
      <w:pPr>
        <w:numPr>
          <w:numId w:val="3"/>
          <w:ilvl w:val="0"/>
        </w:numPr>
        <w:jc w:val="center"/>
        <w:rPr>
          <w:rFonts w:ascii="Arial" w:hAnsi="Arial" w:cs="Arial"/>
          <w:sz w:val="20"/>
          <w:szCs w:val="20"/>
          <w:highlight w:val="white"/>
        </w:rPr>
      </w:pPr>
      <w:r>
        <w:rPr>
          <w:rFonts w:ascii="Arial" w:hAnsi="Arial" w:cs="Arial"/>
          <w:sz w:val="20"/>
          <w:szCs w:val="20"/>
          <w:highlight w:val="white"/>
        </w:rPr>
        <w:t xml:space="preserve">ОСОБЫЕ УСЛОВИЯ</w:t>
      </w:r>
      <w:bookmarkStart w:id="21" w:name="Par547"/>
      <w:r>
        <w:rPr>
          <w:sz w:val="20"/>
          <w:szCs w:val="20"/>
          <w:highlight w:val="white"/>
        </w:rPr>
      </w:r>
      <w:bookmarkStart w:id="22" w:name="Par2216"/>
      <w:r>
        <w:rPr>
          <w:sz w:val="20"/>
          <w:szCs w:val="20"/>
          <w:highlight w:val="white"/>
        </w:rPr>
      </w:r>
      <w:bookmarkStart w:id="23" w:name="Par549"/>
      <w:r>
        <w:rPr>
          <w:sz w:val="20"/>
          <w:szCs w:val="20"/>
          <w:highlight w:val="white"/>
        </w:rPr>
      </w:r>
      <w:bookmarkStart w:id="24" w:name="Par2218"/>
      <w:r>
        <w:rPr>
          <w:sz w:val="20"/>
          <w:szCs w:val="20"/>
          <w:highlight w:val="white"/>
        </w:rPr>
      </w:r>
      <w:bookmarkStart w:id="25" w:name="Par550"/>
      <w:r>
        <w:rPr>
          <w:sz w:val="20"/>
          <w:szCs w:val="20"/>
          <w:highlight w:val="white"/>
        </w:rPr>
      </w:r>
      <w:bookmarkStart w:id="26" w:name="Par2219"/>
      <w:r>
        <w:rPr>
          <w:sz w:val="20"/>
          <w:szCs w:val="20"/>
          <w:highlight w:val="white"/>
        </w:rPr>
      </w:r>
      <w:bookmarkEnd w:id="21"/>
      <w:r>
        <w:rPr>
          <w:sz w:val="20"/>
          <w:szCs w:val="20"/>
          <w:highlight w:val="white"/>
        </w:rPr>
      </w:r>
      <w:bookmarkEnd w:id="22"/>
      <w:r>
        <w:rPr>
          <w:sz w:val="20"/>
          <w:szCs w:val="20"/>
          <w:highlight w:val="white"/>
        </w:rPr>
      </w:r>
      <w:bookmarkEnd w:id="23"/>
      <w:r>
        <w:rPr>
          <w:sz w:val="20"/>
          <w:szCs w:val="20"/>
          <w:highlight w:val="white"/>
        </w:rPr>
      </w:r>
      <w:bookmarkEnd w:id="24"/>
      <w:r>
        <w:rPr>
          <w:sz w:val="20"/>
          <w:szCs w:val="20"/>
          <w:highlight w:val="white"/>
        </w:rPr>
      </w:r>
      <w:bookmarkEnd w:id="25"/>
      <w:r>
        <w:rPr>
          <w:sz w:val="20"/>
          <w:szCs w:val="20"/>
          <w:highlight w:val="white"/>
        </w:rPr>
      </w:r>
      <w:bookmarkEnd w:id="26"/>
      <w:r>
        <w:rPr>
          <w:rFonts w:ascii="Arial" w:hAnsi="Arial" w:cs="Arial"/>
          <w:sz w:val="20"/>
          <w:szCs w:val="20"/>
          <w:highlight w:val="white"/>
        </w:rPr>
      </w:r>
      <w:r>
        <w:rPr>
          <w:rFonts w:ascii="Arial" w:hAnsi="Arial" w:cs="Arial"/>
          <w:sz w:val="20"/>
          <w:szCs w:val="20"/>
          <w:highlight w:val="white"/>
        </w:rPr>
      </w:r>
    </w:p>
    <w:p>
      <w:pPr>
        <w:pStyle w:val="920"/>
        <w:numPr>
          <w:numId w:val="3"/>
          <w:ilvl w:val="1"/>
        </w:numPr>
        <w:jc w:val="both"/>
        <w:rPr>
          <w:sz w:val="20"/>
          <w:szCs w:val="20"/>
          <w:highlight w:val="white"/>
        </w:rPr>
      </w:pPr>
      <w:r>
        <w:rPr>
          <w:sz w:val="20"/>
          <w:szCs w:val="20"/>
          <w:highlight w:val="white"/>
        </w:rPr>
        <w:t xml:space="preserve">Заказчик обязан обеспечить соблюдение Уникальными пользователями Заказчика положений настоящего Договора. </w:t>
      </w:r>
      <w:r>
        <w:rPr>
          <w:sz w:val="20"/>
          <w:szCs w:val="20"/>
          <w:highlight w:val="white"/>
        </w:rPr>
      </w:r>
      <w:r>
        <w:rPr>
          <w:sz w:val="20"/>
          <w:szCs w:val="20"/>
          <w:highlight w:val="white"/>
        </w:rPr>
      </w:r>
    </w:p>
    <w:p>
      <w:pPr>
        <w:numPr>
          <w:numId w:val="3"/>
          <w:ilvl w:val="1"/>
        </w:numPr>
        <w:jc w:val="both"/>
        <w:rPr>
          <w:rFonts w:ascii="Arial" w:hAnsi="Arial" w:cs="Arial"/>
          <w:bCs/>
          <w:sz w:val="20"/>
          <w:szCs w:val="20"/>
          <w:highlight w:val="white"/>
        </w:rPr>
      </w:pPr>
      <w:r>
        <w:rPr>
          <w:rFonts w:ascii="Arial" w:hAnsi="Arial" w:cs="Arial"/>
          <w:bCs/>
          <w:sz w:val="20"/>
          <w:szCs w:val="20"/>
          <w:highlight w:val="white"/>
        </w:rPr>
        <w:t xml:space="preserve">Во всех случаях указания каких-либо сроков по настоящему Договору под днями понимаются официальные рабочие дни, под месяцами – полные календарные месяцы, под текущим месяцем – месяц, в котором Исполнитель оказывает услуги </w:t>
      </w:r>
      <w:r>
        <w:rPr>
          <w:rFonts w:ascii="Arial" w:hAnsi="Arial" w:cs="Arial"/>
          <w:sz w:val="20"/>
          <w:szCs w:val="20"/>
          <w:highlight w:val="white"/>
        </w:rPr>
        <w:t xml:space="preserve">(услуги по адаптации и сопровождению экземпляров Систем)</w:t>
      </w:r>
      <w:r>
        <w:rPr>
          <w:rFonts w:ascii="Arial" w:hAnsi="Arial" w:cs="Arial"/>
          <w:bCs/>
          <w:sz w:val="20"/>
          <w:szCs w:val="20"/>
          <w:highlight w:val="white"/>
        </w:rPr>
        <w:t xml:space="preserve">.</w:t>
      </w:r>
      <w:r>
        <w:rPr>
          <w:rFonts w:ascii="Arial" w:hAnsi="Arial" w:cs="Arial"/>
          <w:bCs/>
          <w:sz w:val="20"/>
          <w:szCs w:val="20"/>
          <w:highlight w:val="white"/>
        </w:rPr>
      </w:r>
      <w:r>
        <w:rPr>
          <w:rFonts w:ascii="Arial" w:hAnsi="Arial" w:cs="Arial"/>
          <w:bCs/>
          <w:sz w:val="20"/>
          <w:szCs w:val="20"/>
          <w:highlight w:val="white"/>
        </w:rPr>
      </w:r>
    </w:p>
    <w:p>
      <w:pPr>
        <w:numPr>
          <w:numId w:val="3"/>
          <w:ilvl w:val="1"/>
        </w:numPr>
        <w:jc w:val="both"/>
        <w:rPr>
          <w:rFonts w:ascii="Arial" w:hAnsi="Arial" w:cs="Arial"/>
          <w:sz w:val="20"/>
          <w:szCs w:val="20"/>
          <w:highlight w:val="white"/>
        </w:rPr>
      </w:pPr>
      <w:r>
        <w:rPr>
          <w:sz w:val="20"/>
          <w:szCs w:val="20"/>
          <w:highlight w:val="white"/>
        </w:rPr>
      </w:r>
      <w:bookmarkStart w:id="27" w:name="Par552"/>
      <w:r>
        <w:rPr>
          <w:sz w:val="20"/>
          <w:szCs w:val="20"/>
          <w:highlight w:val="white"/>
        </w:rPr>
      </w:r>
      <w:bookmarkEnd w:id="27"/>
      <w:r>
        <w:rPr>
          <w:rFonts w:ascii="Arial" w:hAnsi="Arial" w:cs="Arial"/>
          <w:bCs/>
          <w:sz w:val="20"/>
          <w:szCs w:val="20"/>
          <w:highlight w:val="white"/>
        </w:rPr>
        <w:t xml:space="preserve">Условия </w:t>
      </w:r>
      <w:r>
        <w:rPr>
          <w:rFonts w:ascii="Arial" w:hAnsi="Arial" w:cs="Arial"/>
          <w:sz w:val="20"/>
          <w:szCs w:val="20"/>
          <w:highlight w:val="white"/>
        </w:rPr>
        <w:t xml:space="preserve">настоящего Договора и дополнительных соглашений к нему являются конфиденциальными и не подлежат разглашению, за исключением случаев, когда иное пред</w:t>
      </w:r>
      <w:r>
        <w:rPr>
          <w:rFonts w:ascii="Arial" w:hAnsi="Arial" w:cs="Arial"/>
          <w:sz w:val="20"/>
          <w:szCs w:val="20"/>
          <w:highlight w:val="white"/>
        </w:rPr>
        <w:t xml:space="preserve">усмотрено законодательством Российской Федерации. В случае разглашения Заказчиком условий настоящего Договора либо дополнительных соглашений, Исполнитель вправе пересмотреть условия оказания услуг либо в одностороннем порядке расторгнуть настоящий Договор.</w:t>
      </w:r>
      <w:r>
        <w:rPr>
          <w:rFonts w:ascii="Arial" w:hAnsi="Arial" w:cs="Arial"/>
          <w:sz w:val="20"/>
          <w:szCs w:val="20"/>
          <w:highlight w:val="white"/>
        </w:rPr>
      </w:r>
      <w:r>
        <w:rPr>
          <w:rFonts w:ascii="Arial" w:hAnsi="Arial" w:cs="Arial"/>
          <w:sz w:val="20"/>
          <w:szCs w:val="20"/>
          <w:highlight w:val="white"/>
        </w:rPr>
      </w:r>
    </w:p>
    <w:p>
      <w:pPr>
        <w:pStyle w:val="920"/>
        <w:numPr>
          <w:numId w:val="3"/>
          <w:ilvl w:val="1"/>
        </w:numPr>
        <w:jc w:val="both"/>
        <w:rPr>
          <w:sz w:val="20"/>
          <w:szCs w:val="20"/>
          <w:highlight w:val="white"/>
        </w:rPr>
      </w:pPr>
      <w:r>
        <w:rPr>
          <w:sz w:val="20"/>
          <w:szCs w:val="20"/>
          <w:highlight w:val="white"/>
        </w:rPr>
      </w:r>
      <w:bookmarkStart w:id="28" w:name="Par553"/>
      <w:r>
        <w:rPr>
          <w:sz w:val="20"/>
          <w:szCs w:val="20"/>
          <w:highlight w:val="white"/>
        </w:rPr>
      </w:r>
      <w:bookmarkStart w:id="29" w:name="Par2222"/>
      <w:r>
        <w:rPr>
          <w:sz w:val="20"/>
          <w:szCs w:val="20"/>
          <w:highlight w:val="white"/>
        </w:rPr>
      </w:r>
      <w:bookmarkEnd w:id="28"/>
      <w:r>
        <w:rPr>
          <w:sz w:val="20"/>
          <w:szCs w:val="20"/>
          <w:highlight w:val="white"/>
        </w:rPr>
      </w:r>
      <w:bookmarkEnd w:id="29"/>
      <w:r>
        <w:rPr>
          <w:sz w:val="20"/>
          <w:szCs w:val="20"/>
          <w:highlight w:val="white"/>
        </w:rPr>
        <w:t xml:space="preserve">Экземпляры Систем передаются и сопровождаются Исполнителем в виде «как есть» с параметрами</w:t>
      </w:r>
      <w:r>
        <w:rPr>
          <w:sz w:val="20"/>
          <w:szCs w:val="20"/>
          <w:highlight w:val="white"/>
        </w:rPr>
        <w:t xml:space="preserve"> информационного содержания</w:t>
      </w:r>
      <w:r>
        <w:rPr>
          <w:sz w:val="20"/>
          <w:szCs w:val="20"/>
          <w:highlight w:val="white"/>
        </w:rPr>
        <w:t xml:space="preserve">, определяемыми разработчиком, и не подлежат изменению по желанию Заказчика, если иное не предусмотрено соглашением Сторон. Разработчик Систем вправе самостоятельно определять информационное содержание Систем в рамках их общей направ</w:t>
      </w:r>
      <w:r>
        <w:rPr>
          <w:sz w:val="20"/>
          <w:szCs w:val="20"/>
          <w:highlight w:val="white"/>
        </w:rPr>
        <w:t xml:space="preserve">ленности. Информация, содержащаяся в Системе, включая авторские материалы (комментарии, книги, статьи, ответы на вопросы и т.д.), имеет справочный характер. Разработчик не несет ответственности за правильность информации, изложенной в авторских материалах.</w:t>
      </w:r>
      <w:r>
        <w:rPr>
          <w:sz w:val="20"/>
          <w:szCs w:val="20"/>
          <w:highlight w:val="white"/>
        </w:rPr>
      </w:r>
      <w:r>
        <w:rPr>
          <w:sz w:val="20"/>
          <w:szCs w:val="20"/>
          <w:highlight w:val="white"/>
        </w:rPr>
      </w:r>
    </w:p>
    <w:p>
      <w:pPr>
        <w:pStyle w:val="920"/>
        <w:numPr>
          <w:numId w:val="3"/>
          <w:ilvl w:val="1"/>
        </w:numPr>
        <w:jc w:val="both"/>
        <w:rPr>
          <w:sz w:val="20"/>
          <w:szCs w:val="20"/>
          <w:highlight w:val="white"/>
        </w:rPr>
      </w:pPr>
      <w:r>
        <w:rPr>
          <w:sz w:val="20"/>
          <w:szCs w:val="20"/>
          <w:highlight w:val="white"/>
        </w:rPr>
      </w:r>
      <w:bookmarkStart w:id="30" w:name="Par555"/>
      <w:r>
        <w:rPr>
          <w:sz w:val="20"/>
          <w:szCs w:val="20"/>
          <w:highlight w:val="white"/>
        </w:rPr>
      </w:r>
      <w:bookmarkStart w:id="31" w:name="Par2224"/>
      <w:r>
        <w:rPr>
          <w:sz w:val="20"/>
          <w:szCs w:val="20"/>
          <w:highlight w:val="white"/>
        </w:rPr>
      </w:r>
      <w:bookmarkEnd w:id="30"/>
      <w:r>
        <w:rPr>
          <w:sz w:val="20"/>
          <w:szCs w:val="20"/>
          <w:highlight w:val="white"/>
        </w:rPr>
      </w:r>
      <w:bookmarkEnd w:id="31"/>
      <w:r>
        <w:rPr>
          <w:sz w:val="20"/>
          <w:szCs w:val="20"/>
          <w:highlight w:val="white"/>
        </w:rPr>
        <w:t xml:space="preserve">В случае если в силу те</w:t>
      </w:r>
      <w:r>
        <w:rPr>
          <w:sz w:val="20"/>
          <w:szCs w:val="20"/>
          <w:highlight w:val="white"/>
        </w:rPr>
        <w:t xml:space="preserve">хнических особенностей определенной Системы какие-либо условия настоящего Договора выполнить невозможно, то эти условия и ответственность за невыполнение этих условий, если она предусмотрена, считаются недействующими в отношении экземпляров данной Системы.</w:t>
      </w:r>
      <w:r>
        <w:rPr>
          <w:sz w:val="20"/>
          <w:szCs w:val="20"/>
          <w:highlight w:val="white"/>
        </w:rPr>
      </w:r>
      <w:r>
        <w:rPr>
          <w:sz w:val="20"/>
          <w:szCs w:val="20"/>
          <w:highlight w:val="white"/>
        </w:rPr>
      </w:r>
    </w:p>
    <w:p>
      <w:pPr>
        <w:pStyle w:val="920"/>
        <w:numPr>
          <w:numId w:val="3"/>
          <w:ilvl w:val="1"/>
        </w:numPr>
        <w:jc w:val="both"/>
        <w:rPr>
          <w:sz w:val="20"/>
          <w:szCs w:val="20"/>
          <w:highlight w:val="white"/>
        </w:rPr>
      </w:pPr>
      <w:r>
        <w:rPr>
          <w:sz w:val="20"/>
          <w:szCs w:val="20"/>
          <w:highlight w:val="white"/>
        </w:rPr>
        <w:t xml:space="preserve">Исполнитель может исполнять свои обязательства по настоящему Договору с привлечением третьих лиц.</w:t>
      </w:r>
      <w:r>
        <w:rPr>
          <w:sz w:val="20"/>
          <w:szCs w:val="20"/>
          <w:highlight w:val="white"/>
        </w:rPr>
      </w:r>
      <w:r>
        <w:rPr>
          <w:sz w:val="20"/>
          <w:szCs w:val="20"/>
          <w:highlight w:val="white"/>
        </w:rPr>
      </w:r>
    </w:p>
    <w:p>
      <w:pPr>
        <w:pStyle w:val="920"/>
        <w:numPr>
          <w:numId w:val="3"/>
          <w:ilvl w:val="1"/>
        </w:numPr>
        <w:jc w:val="both"/>
        <w:rPr>
          <w:sz w:val="20"/>
          <w:szCs w:val="20"/>
          <w:highlight w:val="white"/>
        </w:rPr>
      </w:pPr>
      <w:r>
        <w:rPr>
          <w:sz w:val="20"/>
          <w:szCs w:val="20"/>
          <w:highlight w:val="white"/>
        </w:rPr>
      </w:r>
      <w:bookmarkStart w:id="32" w:name="Par557"/>
      <w:r>
        <w:rPr>
          <w:sz w:val="20"/>
          <w:szCs w:val="20"/>
          <w:highlight w:val="white"/>
        </w:rPr>
      </w:r>
      <w:bookmarkStart w:id="33" w:name="Par2226"/>
      <w:r>
        <w:rPr>
          <w:sz w:val="20"/>
          <w:szCs w:val="20"/>
          <w:highlight w:val="white"/>
        </w:rPr>
      </w:r>
      <w:bookmarkEnd w:id="32"/>
      <w:r>
        <w:rPr>
          <w:sz w:val="20"/>
          <w:szCs w:val="20"/>
          <w:highlight w:val="white"/>
        </w:rPr>
      </w:r>
      <w:bookmarkEnd w:id="33"/>
      <w:r>
        <w:rPr>
          <w:sz w:val="20"/>
          <w:szCs w:val="20"/>
          <w:highlight w:val="white"/>
        </w:rPr>
        <w:t xml:space="preserve">Исполнитель может получать служебные файлы и информацию с компьютера Заказчика, необходимые для надлежащего исполнения обязательств перед Заказчиком.</w:t>
      </w:r>
      <w:r>
        <w:rPr>
          <w:sz w:val="20"/>
          <w:szCs w:val="20"/>
          <w:highlight w:val="white"/>
        </w:rPr>
      </w:r>
      <w:r>
        <w:rPr>
          <w:sz w:val="20"/>
          <w:szCs w:val="20"/>
          <w:highlight w:val="white"/>
        </w:rPr>
      </w:r>
    </w:p>
    <w:p>
      <w:pPr>
        <w:pStyle w:val="920"/>
        <w:numPr>
          <w:numId w:val="3"/>
          <w:ilvl w:val="1"/>
        </w:numPr>
        <w:jc w:val="both"/>
        <w:rPr>
          <w:sz w:val="20"/>
          <w:szCs w:val="20"/>
          <w:highlight w:val="white"/>
        </w:rPr>
      </w:pPr>
      <w:r>
        <w:rPr>
          <w:sz w:val="20"/>
          <w:szCs w:val="20"/>
          <w:highlight w:val="white"/>
        </w:rPr>
      </w:r>
      <w:bookmarkStart w:id="34" w:name="Par558"/>
      <w:r>
        <w:rPr>
          <w:sz w:val="20"/>
          <w:szCs w:val="20"/>
          <w:highlight w:val="white"/>
        </w:rPr>
      </w:r>
      <w:bookmarkStart w:id="35" w:name="Par2227"/>
      <w:r>
        <w:rPr>
          <w:sz w:val="20"/>
          <w:szCs w:val="20"/>
          <w:highlight w:val="white"/>
        </w:rPr>
      </w:r>
      <w:bookmarkStart w:id="36" w:name="Par559"/>
      <w:r>
        <w:rPr>
          <w:sz w:val="20"/>
          <w:szCs w:val="20"/>
          <w:highlight w:val="white"/>
        </w:rPr>
      </w:r>
      <w:bookmarkEnd w:id="34"/>
      <w:r>
        <w:rPr>
          <w:sz w:val="20"/>
          <w:szCs w:val="20"/>
          <w:highlight w:val="white"/>
        </w:rPr>
      </w:r>
      <w:bookmarkEnd w:id="35"/>
      <w:r>
        <w:rPr>
          <w:sz w:val="20"/>
          <w:szCs w:val="20"/>
          <w:highlight w:val="white"/>
        </w:rPr>
      </w:r>
      <w:bookmarkEnd w:id="36"/>
      <w:r>
        <w:rPr>
          <w:sz w:val="20"/>
          <w:szCs w:val="20"/>
          <w:highlight w:val="white"/>
        </w:rPr>
        <w:t xml:space="preserve">С согласия</w:t>
      </w:r>
      <w:r>
        <w:rPr>
          <w:sz w:val="20"/>
          <w:szCs w:val="20"/>
          <w:highlight w:val="white"/>
        </w:rPr>
        <w:t xml:space="preserve"> Заказчика Исполнитель вправе изменить параметры и/или название экземпляра Системы, сопровождаемого по настоящем</w:t>
      </w:r>
      <w:r>
        <w:rPr>
          <w:sz w:val="20"/>
          <w:szCs w:val="20"/>
          <w:highlight w:val="white"/>
        </w:rPr>
        <w:t xml:space="preserve">у Договору, путем передачи в адрес Заказчика письма </w:t>
      </w:r>
      <w:r>
        <w:rPr>
          <w:sz w:val="20"/>
          <w:szCs w:val="20"/>
          <w:highlight w:val="white"/>
        </w:rPr>
        <w:t xml:space="preserve">с указанием новых параметров и/или названия экземпляра Системы</w:t>
      </w:r>
      <w:r>
        <w:rPr>
          <w:sz w:val="20"/>
          <w:szCs w:val="20"/>
          <w:highlight w:val="white"/>
        </w:rPr>
        <w:t xml:space="preserve">. Соответствующие изменения в Договор вступают в силу с момента получения Заказчиком указанного письма или иного момента, указанного в письме.</w:t>
      </w:r>
      <w:r>
        <w:rPr>
          <w:sz w:val="20"/>
          <w:szCs w:val="20"/>
          <w:highlight w:val="white"/>
        </w:rPr>
      </w:r>
      <w:r>
        <w:rPr>
          <w:sz w:val="20"/>
          <w:szCs w:val="20"/>
          <w:highlight w:val="white"/>
        </w:rPr>
      </w:r>
    </w:p>
    <w:p>
      <w:pPr>
        <w:pStyle w:val="920"/>
        <w:numPr>
          <w:numId w:val="3"/>
          <w:ilvl w:val="1"/>
        </w:numPr>
        <w:jc w:val="both"/>
        <w:rPr>
          <w:sz w:val="20"/>
          <w:szCs w:val="20"/>
          <w:highlight w:val="white"/>
        </w:rPr>
      </w:pPr>
      <w:r>
        <w:rPr>
          <w:sz w:val="20"/>
          <w:szCs w:val="20"/>
          <w:highlight w:val="white"/>
        </w:rPr>
        <w:t xml:space="preserve">Заказчик обязан обеспечить правомерность использования Исполнителем персональных данных физических лиц, которые Заказчик передает Исполнителю по настоящему Договору. </w:t>
      </w:r>
      <w:r>
        <w:rPr>
          <w:sz w:val="20"/>
          <w:szCs w:val="20"/>
          <w:highlight w:val="white"/>
        </w:rPr>
      </w:r>
      <w:r>
        <w:rPr>
          <w:sz w:val="20"/>
          <w:szCs w:val="20"/>
          <w:highlight w:val="white"/>
        </w:rPr>
      </w:r>
    </w:p>
    <w:p>
      <w:pPr>
        <w:pStyle w:val="920"/>
        <w:numPr>
          <w:numId w:val="3"/>
          <w:ilvl w:val="1"/>
        </w:numPr>
        <w:jc w:val="both"/>
        <w:rPr>
          <w:sz w:val="20"/>
          <w:szCs w:val="20"/>
          <w:highlight w:val="white"/>
        </w:rPr>
      </w:pPr>
      <w:r>
        <w:rPr>
          <w:bCs/>
          <w:sz w:val="20"/>
          <w:szCs w:val="20"/>
          <w:highlight w:val="white"/>
        </w:rPr>
        <w:t xml:space="preserve">Все споры и разногласия, возника</w:t>
      </w:r>
      <w:r>
        <w:rPr>
          <w:bCs/>
          <w:sz w:val="20"/>
          <w:szCs w:val="20"/>
          <w:highlight w:val="white"/>
        </w:rPr>
        <w:t xml:space="preserve">ющие между Сторонами по настоящему Договору или в связи с ним, разрешаются путем переговоров. Срок ответа на претензию </w:t>
      </w:r>
      <w:r>
        <w:rPr>
          <w:bCs/>
          <w:sz w:val="20"/>
          <w:szCs w:val="20"/>
          <w:highlight w:val="white"/>
        </w:rPr>
        <w:t xml:space="preserve">не должен превышать </w:t>
      </w:r>
      <w:r>
        <w:rPr>
          <w:sz w:val="20"/>
          <w:szCs w:val="20"/>
          <w:highlight w:val="white"/>
        </w:rPr>
        <w:t xml:space="preserve">15 (пятнадцати) дней</w:t>
      </w:r>
      <w:r>
        <w:rPr>
          <w:bCs/>
          <w:sz w:val="20"/>
          <w:szCs w:val="20"/>
          <w:highlight w:val="white"/>
        </w:rPr>
        <w:t xml:space="preserve">. В случае невозможности разрешения споров и разногласий путем переговоров, они подлежат рассмотрению в </w:t>
      </w:r>
      <w:r>
        <w:rPr>
          <w:sz w:val="20"/>
          <w:szCs w:val="20"/>
          <w:highlight w:val="white"/>
        </w:rPr>
        <w:t xml:space="preserve">Арбитражном суде г. Москвы</w:t>
      </w:r>
      <w:r>
        <w:rPr>
          <w:bCs/>
          <w:sz w:val="20"/>
          <w:szCs w:val="20"/>
          <w:highlight w:val="white"/>
        </w:rPr>
        <w:t xml:space="preserve">. </w:t>
      </w:r>
      <w:r>
        <w:rPr>
          <w:sz w:val="20"/>
          <w:szCs w:val="20"/>
          <w:highlight w:val="white"/>
        </w:rPr>
      </w:r>
      <w:r>
        <w:rPr>
          <w:sz w:val="20"/>
          <w:szCs w:val="20"/>
          <w:highlight w:val="white"/>
        </w:rPr>
      </w:r>
    </w:p>
    <w:p>
      <w:pPr>
        <w:numPr>
          <w:numId w:val="3"/>
          <w:ilvl w:val="1"/>
        </w:numPr>
        <w:jc w:val="both"/>
        <w:rPr>
          <w:rFonts w:ascii="Arial" w:hAnsi="Arial" w:cs="Arial"/>
          <w:bCs/>
          <w:sz w:val="20"/>
          <w:szCs w:val="20"/>
          <w:highlight w:val="white"/>
        </w:rPr>
      </w:pPr>
      <w:r>
        <w:rPr>
          <w:rFonts w:ascii="Arial" w:hAnsi="Arial" w:cs="Arial"/>
          <w:bCs/>
          <w:sz w:val="20"/>
          <w:szCs w:val="20"/>
          <w:highlight w:val="white"/>
        </w:rPr>
        <w:t xml:space="preserve">По вопросам, возникающим в рамках настоящего Договора, не предусмотренным в Договоре, Стороны руководствуются действующим законодательством.</w:t>
      </w:r>
      <w:r>
        <w:rPr>
          <w:rFonts w:ascii="Arial" w:hAnsi="Arial" w:cs="Arial"/>
          <w:bCs/>
          <w:sz w:val="20"/>
          <w:szCs w:val="20"/>
          <w:highlight w:val="white"/>
        </w:rPr>
      </w:r>
      <w:r>
        <w:rPr>
          <w:rFonts w:ascii="Arial" w:hAnsi="Arial" w:cs="Arial"/>
          <w:bCs/>
          <w:sz w:val="20"/>
          <w:szCs w:val="20"/>
          <w:highlight w:val="white"/>
        </w:rPr>
      </w:r>
    </w:p>
    <w:p>
      <w:pPr>
        <w:pStyle w:val="920"/>
        <w:numPr>
          <w:numId w:val="3"/>
          <w:ilvl w:val="1"/>
        </w:numPr>
        <w:jc w:val="both"/>
        <w:rPr>
          <w:sz w:val="20"/>
          <w:szCs w:val="20"/>
          <w:highlight w:val="white"/>
        </w:rPr>
      </w:pPr>
      <w:r>
        <w:rPr>
          <w:sz w:val="20"/>
          <w:szCs w:val="20"/>
          <w:highlight w:val="white"/>
        </w:rPr>
        <w:t xml:space="preserve">В случае </w:t>
      </w:r>
      <w:r>
        <w:rPr>
          <w:sz w:val="20"/>
          <w:szCs w:val="20"/>
          <w:highlight w:val="white"/>
        </w:rPr>
        <w:t xml:space="preserve">заключения дополнительного соглашения к настоящему Договору, Стороны могут установить приоритет условий дополнительного соглашения над условиями настоящего Договора</w:t>
      </w:r>
      <w:r>
        <w:rPr>
          <w:sz w:val="20"/>
          <w:szCs w:val="20"/>
          <w:highlight w:val="white"/>
        </w:rPr>
        <w:t xml:space="preserve">. </w:t>
      </w:r>
      <w:r>
        <w:rPr>
          <w:sz w:val="20"/>
          <w:szCs w:val="20"/>
          <w:highlight w:val="white"/>
        </w:rPr>
      </w:r>
      <w:r>
        <w:rPr>
          <w:sz w:val="20"/>
          <w:szCs w:val="20"/>
          <w:highlight w:val="white"/>
        </w:rPr>
      </w:r>
    </w:p>
    <w:p>
      <w:pPr>
        <w:numPr>
          <w:numId w:val="3"/>
          <w:ilvl w:val="1"/>
        </w:numPr>
        <w:jc w:val="both"/>
        <w:rPr>
          <w:rFonts w:ascii="Arial" w:hAnsi="Arial" w:cs="Arial"/>
          <w:bCs/>
          <w:sz w:val="20"/>
          <w:szCs w:val="20"/>
          <w:highlight w:val="white"/>
        </w:rPr>
      </w:pPr>
      <w:r>
        <w:rPr>
          <w:rFonts w:ascii="Arial" w:hAnsi="Arial" w:cs="Arial"/>
          <w:bCs/>
          <w:sz w:val="20"/>
          <w:szCs w:val="20"/>
          <w:highlight w:val="white"/>
        </w:rPr>
        <w:t xml:space="preserve">Договор составлен в двух идентичных экземплярах, из которых один находится у Заказчика, второй – у Исполнителя.</w:t>
      </w:r>
      <w:r>
        <w:rPr>
          <w:rFonts w:ascii="Arial" w:hAnsi="Arial" w:cs="Arial"/>
          <w:bCs/>
          <w:sz w:val="20"/>
          <w:szCs w:val="20"/>
          <w:highlight w:val="white"/>
        </w:rPr>
        <w:t xml:space="preserve"> </w:t>
      </w:r>
      <w:r>
        <w:rPr>
          <w:rFonts w:ascii="Arial" w:hAnsi="Arial" w:cs="Arial"/>
          <w:sz w:val="20"/>
          <w:szCs w:val="20"/>
          <w:highlight w:val="white"/>
        </w:rPr>
        <w:t xml:space="preserve">Все спецификации, Дополнительные соглашения являются неотъемлемой частью настоящего Договора.</w:t>
      </w:r>
      <w:r>
        <w:rPr>
          <w:rFonts w:ascii="Arial" w:hAnsi="Arial" w:cs="Arial"/>
          <w:bCs/>
          <w:sz w:val="20"/>
          <w:szCs w:val="20"/>
          <w:highlight w:val="white"/>
        </w:rPr>
      </w:r>
      <w:r>
        <w:rPr>
          <w:rFonts w:ascii="Arial" w:hAnsi="Arial" w:cs="Arial"/>
          <w:bCs/>
          <w:sz w:val="20"/>
          <w:szCs w:val="20"/>
          <w:highlight w:val="white"/>
        </w:rPr>
      </w:r>
    </w:p>
    <w:p>
      <w:pPr>
        <w:numPr>
          <w:numId w:val="3"/>
          <w:ilvl w:val="1"/>
        </w:numPr>
        <w:jc w:val="both"/>
        <w:rPr>
          <w:rFonts w:ascii="Arial" w:hAnsi="Arial" w:cs="Arial"/>
          <w:bCs/>
          <w:sz w:val="20"/>
          <w:szCs w:val="20"/>
          <w:highlight w:val="white"/>
        </w:rPr>
      </w:pPr>
      <w:r>
        <w:rPr>
          <w:rFonts w:ascii="Arial" w:hAnsi="Arial" w:cs="Arial"/>
          <w:bCs/>
          <w:sz w:val="20"/>
          <w:szCs w:val="20"/>
          <w:highlight w:val="white"/>
        </w:rPr>
        <w:t xml:space="preserve">При изменении наименования, ИНН, адреса местонахождения и почтового адреса, каждая из сторон обязана письменно уведомить об этом другую сторону не позднее 5 дней с момента произошедш</w:t>
      </w:r>
      <w:r>
        <w:rPr>
          <w:rFonts w:ascii="Arial" w:hAnsi="Arial" w:cs="Arial"/>
          <w:bCs/>
          <w:sz w:val="20"/>
          <w:szCs w:val="20"/>
          <w:highlight w:val="white"/>
        </w:rPr>
        <w:t xml:space="preserve">их изменений. При нарушении Заказчиком условий настоящего пункта, Исполнитель не несет ответственности за ненадлежащее оформление документов, передаваемых Заказчику согласно настоящему Договору и необходимых для его финансово - хозяйственной деятельности. </w:t>
      </w:r>
      <w:r>
        <w:rPr>
          <w:rFonts w:ascii="Arial" w:hAnsi="Arial" w:cs="Arial"/>
          <w:sz w:val="20"/>
          <w:szCs w:val="20"/>
          <w:highlight w:val="white"/>
        </w:rPr>
        <w:t xml:space="preserve">Системы по заказу Разработчика Систем могут модифицироваться официальными Представителями Сети КонсультантПлюс либо иными организациями в соответствии с технологическими процедурами и политикой Разработчика Систем.</w:t>
      </w:r>
      <w:r>
        <w:rPr>
          <w:rFonts w:ascii="Arial" w:hAnsi="Arial" w:eastAsia="Calibri" w:cs="Arial"/>
          <w:sz w:val="20"/>
          <w:szCs w:val="20"/>
          <w:highlight w:val="white"/>
          <w:lang w:eastAsia="en-US"/>
        </w:rPr>
        <w:t xml:space="preserve"> </w:t>
      </w:r>
      <w:r>
        <w:rPr>
          <w:rFonts w:ascii="Arial" w:hAnsi="Arial" w:cs="Arial"/>
          <w:sz w:val="20"/>
          <w:szCs w:val="20"/>
          <w:highlight w:val="white"/>
        </w:rPr>
        <w:t xml:space="preserve">Исполнитель оказывает Заказчику услуги по адаптации и сопровождению Систем, модифицированных Исполнителем.</w:t>
      </w:r>
      <w:r>
        <w:rPr>
          <w:rFonts w:ascii="Arial" w:hAnsi="Arial" w:cs="Arial"/>
          <w:bCs/>
          <w:sz w:val="20"/>
          <w:szCs w:val="20"/>
          <w:highlight w:val="white"/>
        </w:rPr>
      </w:r>
      <w:r>
        <w:rPr>
          <w:rFonts w:ascii="Arial" w:hAnsi="Arial" w:cs="Arial"/>
          <w:bCs/>
          <w:sz w:val="20"/>
          <w:szCs w:val="20"/>
          <w:highlight w:val="white"/>
        </w:rPr>
      </w:r>
    </w:p>
    <w:p>
      <w:pPr>
        <w:pStyle w:val="920"/>
        <w:widowControl/>
        <w:numPr>
          <w:numId w:val="3"/>
          <w:ilvl w:val="1"/>
        </w:numPr>
        <w:tabs>
          <w:tab w:val="left" w:pos="426" w:leader="none"/>
        </w:tabs>
        <w:contextualSpacing/>
        <w:jc w:val="both"/>
        <w:rPr>
          <w:sz w:val="20"/>
          <w:szCs w:val="20"/>
          <w:highlight w:val="white"/>
        </w:rPr>
      </w:pPr>
      <w:r>
        <w:rPr>
          <w:sz w:val="20"/>
          <w:szCs w:val="20"/>
          <w:highlight w:val="white"/>
        </w:rPr>
        <w:t xml:space="preserve">Подписание Догов</w:t>
      </w:r>
      <w:r>
        <w:rPr>
          <w:sz w:val="20"/>
          <w:szCs w:val="20"/>
          <w:highlight w:val="white"/>
        </w:rPr>
        <w:t xml:space="preserve">ора, дополнительных соглашений</w:t>
      </w:r>
      <w:r>
        <w:rPr>
          <w:sz w:val="20"/>
          <w:szCs w:val="20"/>
          <w:highlight w:val="white"/>
        </w:rPr>
        <w:t xml:space="preserve">, </w:t>
      </w:r>
      <w:r>
        <w:rPr>
          <w:sz w:val="20"/>
          <w:szCs w:val="20"/>
          <w:highlight w:val="white"/>
        </w:rPr>
        <w:t xml:space="preserve">спецификаций, </w:t>
      </w:r>
      <w:r>
        <w:rPr>
          <w:sz w:val="20"/>
          <w:szCs w:val="20"/>
          <w:highlight w:val="white"/>
        </w:rPr>
        <w:t xml:space="preserve">а также оформление и обмен любыми документами по настоящему Договору (включая, но не ограничиваясь, счета, акты, накладные, счета-фактуры, УПД) допускаются в эл</w:t>
      </w:r>
      <w:r>
        <w:rPr>
          <w:sz w:val="20"/>
          <w:szCs w:val="20"/>
          <w:highlight w:val="white"/>
        </w:rPr>
        <w:t xml:space="preserve">ектронном виде, с использованием электронного документооборота. Такие документы оформляются в соответствии с требованиями действующих нормативно-правовых актов, в т.ч. Федерального закона от 6 апреля 2011 г. N 63-ФЗ «Об электронной подписи», и подписываютс</w:t>
      </w:r>
      <w:r>
        <w:rPr>
          <w:sz w:val="20"/>
          <w:szCs w:val="20"/>
          <w:highlight w:val="white"/>
        </w:rPr>
        <w:t xml:space="preserve">я квалифицированной электронной подписью. Заказчик и Исполнитель признают указанные документы равнозначными документам на бумажном носителе, подписанным соответствующими собственноручными подписями своих уполномоченных представителей и заверенным печатями </w:t>
      </w:r>
      <w:r>
        <w:rPr>
          <w:sz w:val="20"/>
          <w:szCs w:val="20"/>
          <w:highlight w:val="white"/>
        </w:rPr>
        <w:t xml:space="preserve">(при необходимости). Стороны несут ответственность за обеспечение конфиденциальности ключей электронной подписи и за их несанкционированное использование. Стороны также вправе производить оформление и обмен документами по настоящему Договору на бумажном но</w:t>
      </w:r>
      <w:r>
        <w:rPr>
          <w:sz w:val="20"/>
          <w:szCs w:val="20"/>
          <w:highlight w:val="white"/>
        </w:rPr>
        <w:t xml:space="preserve">сителе с подписанием собственноручной подписью уполномоченных представителей и приложением оттиска печати (при необходимости), при этом по требованию любой из Сторон оформление и обмен такими документами и/или дубликатами документов являются обязательными.</w:t>
      </w:r>
      <w:r>
        <w:rPr>
          <w:sz w:val="20"/>
          <w:szCs w:val="20"/>
          <w:highlight w:val="white"/>
        </w:rPr>
      </w:r>
      <w:r>
        <w:rPr>
          <w:sz w:val="20"/>
          <w:szCs w:val="20"/>
          <w:highlight w:val="white"/>
        </w:rPr>
      </w:r>
    </w:p>
    <w:p>
      <w:pPr>
        <w:jc w:val="both"/>
        <w:rPr>
          <w:rFonts w:ascii="Arial" w:hAnsi="Arial" w:cs="Arial"/>
          <w:bCs/>
          <w:sz w:val="20"/>
          <w:szCs w:val="20"/>
          <w:highlight w:val="white"/>
        </w:rPr>
      </w:pPr>
      <w:r>
        <w:rPr>
          <w:rFonts w:ascii="Arial" w:hAnsi="Arial" w:cs="Arial"/>
          <w:bCs/>
          <w:sz w:val="20"/>
          <w:szCs w:val="20"/>
          <w:highlight w:val="white"/>
        </w:rPr>
      </w:r>
      <w:r>
        <w:rPr>
          <w:rFonts w:ascii="Arial" w:hAnsi="Arial" w:cs="Arial"/>
          <w:bCs/>
          <w:sz w:val="20"/>
          <w:szCs w:val="20"/>
          <w:highlight w:val="white"/>
        </w:rPr>
      </w:r>
      <w:r>
        <w:rPr>
          <w:rFonts w:ascii="Arial" w:hAnsi="Arial" w:cs="Arial"/>
          <w:bCs/>
          <w:sz w:val="20"/>
          <w:szCs w:val="20"/>
          <w:highlight w:val="white"/>
        </w:rPr>
      </w:r>
    </w:p>
    <w:p>
      <w:pPr>
        <w:pStyle w:val="931"/>
        <w:numPr>
          <w:numId w:val="3"/>
          <w:ilvl w:val="0"/>
        </w:numPr>
        <w:jc w:val="center"/>
        <w:rPr>
          <w:rFonts w:ascii="Arial" w:hAnsi="Arial" w:cs="Arial"/>
          <w:sz w:val="20"/>
          <w:szCs w:val="20"/>
          <w:highlight w:val="white"/>
        </w:rPr>
      </w:pPr>
      <w:r>
        <w:rPr>
          <w:rFonts w:ascii="Arial" w:hAnsi="Arial" w:cs="Arial"/>
          <w:sz w:val="20"/>
          <w:szCs w:val="20"/>
          <w:highlight w:val="white"/>
        </w:rPr>
        <w:t xml:space="preserve">АНТИКОРРУПЦИОННАЯ ОГОВОРКА</w:t>
      </w:r>
      <w:r>
        <w:rPr>
          <w:rFonts w:ascii="Arial" w:hAnsi="Arial" w:cs="Arial"/>
          <w:sz w:val="20"/>
          <w:szCs w:val="20"/>
          <w:highlight w:val="white"/>
        </w:rPr>
      </w:r>
      <w:r>
        <w:rPr>
          <w:rFonts w:ascii="Arial" w:hAnsi="Arial" w:cs="Arial"/>
          <w:sz w:val="20"/>
          <w:szCs w:val="20"/>
          <w:highlight w:val="white"/>
        </w:rPr>
      </w:r>
    </w:p>
    <w:p>
      <w:pPr>
        <w:tabs>
          <w:tab w:val="left" w:pos="426" w:leader="none"/>
        </w:tabs>
        <w:jc w:val="both"/>
        <w:rPr>
          <w:rFonts w:ascii="Arial" w:hAnsi="Arial" w:cs="Arial"/>
          <w:sz w:val="20"/>
          <w:szCs w:val="20"/>
          <w:highlight w:val="white"/>
        </w:rPr>
      </w:pPr>
      <w:r>
        <w:rPr>
          <w:rFonts w:ascii="Arial" w:hAnsi="Arial" w:cs="Arial"/>
          <w:sz w:val="20"/>
          <w:szCs w:val="20"/>
          <w:highlight w:val="white"/>
        </w:rPr>
        <w:t xml:space="preserve">9.1.</w:t>
      </w:r>
      <w:r>
        <w:rPr>
          <w:rFonts w:ascii="Arial" w:hAnsi="Arial" w:cs="Arial"/>
          <w:sz w:val="20"/>
          <w:szCs w:val="20"/>
          <w:highlight w:val="white"/>
        </w:rPr>
        <w:tab/>
        <w:t xml:space="preserve">Сторонам известно о том, что Стороны ведут антикоррупционную политику и развивают не допускающую коррупционных проявлений культуру.</w:t>
      </w:r>
      <w:r>
        <w:rPr>
          <w:rFonts w:ascii="Arial" w:hAnsi="Arial" w:cs="Arial"/>
          <w:sz w:val="20"/>
          <w:szCs w:val="20"/>
          <w:highlight w:val="white"/>
        </w:rPr>
      </w:r>
      <w:r>
        <w:rPr>
          <w:rFonts w:ascii="Arial" w:hAnsi="Arial" w:cs="Arial"/>
          <w:sz w:val="20"/>
          <w:szCs w:val="20"/>
          <w:highlight w:val="white"/>
        </w:rPr>
      </w:r>
    </w:p>
    <w:p>
      <w:pPr>
        <w:tabs>
          <w:tab w:val="left" w:pos="426" w:leader="none"/>
        </w:tabs>
        <w:jc w:val="both"/>
        <w:rPr>
          <w:rFonts w:ascii="Arial" w:hAnsi="Arial" w:cs="Arial"/>
          <w:sz w:val="20"/>
          <w:szCs w:val="20"/>
          <w:highlight w:val="white"/>
        </w:rPr>
      </w:pPr>
      <w:r>
        <w:rPr>
          <w:rFonts w:ascii="Arial" w:hAnsi="Arial" w:cs="Arial"/>
          <w:sz w:val="20"/>
          <w:szCs w:val="20"/>
          <w:highlight w:val="white"/>
        </w:rPr>
        <w:t xml:space="preserve">При исполнении своих обязательств по настоящему Договору, Стороны, их аффилированные лица, работники или посредники не выплачивают, не п</w:t>
      </w:r>
      <w:r>
        <w:rPr>
          <w:rFonts w:ascii="Arial" w:hAnsi="Arial" w:cs="Arial"/>
          <w:sz w:val="20"/>
          <w:szCs w:val="20"/>
          <w:highlight w:val="white"/>
        </w:rPr>
        <w:t xml:space="preserve">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r>
        <w:rPr>
          <w:rFonts w:ascii="Arial" w:hAnsi="Arial" w:cs="Arial"/>
          <w:sz w:val="20"/>
          <w:szCs w:val="20"/>
          <w:highlight w:val="white"/>
        </w:rPr>
      </w:r>
      <w:r>
        <w:rPr>
          <w:rFonts w:ascii="Arial" w:hAnsi="Arial" w:cs="Arial"/>
          <w:sz w:val="20"/>
          <w:szCs w:val="20"/>
          <w:highlight w:val="white"/>
        </w:rPr>
      </w:r>
    </w:p>
    <w:p>
      <w:pPr>
        <w:tabs>
          <w:tab w:val="left" w:pos="426" w:leader="none"/>
        </w:tabs>
        <w:jc w:val="both"/>
        <w:rPr>
          <w:rFonts w:ascii="Arial" w:hAnsi="Arial" w:cs="Arial"/>
          <w:sz w:val="20"/>
          <w:szCs w:val="20"/>
          <w:highlight w:val="white"/>
        </w:rPr>
      </w:pPr>
      <w:r>
        <w:rPr>
          <w:rFonts w:ascii="Arial" w:hAnsi="Arial" w:cs="Arial"/>
          <w:sz w:val="20"/>
          <w:szCs w:val="20"/>
          <w:highlight w:val="white"/>
        </w:rPr>
        <w:t xml:space="preserve">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w:t>
      </w:r>
      <w:r>
        <w:rPr>
          <w:rFonts w:ascii="Arial" w:hAnsi="Arial" w:cs="Arial"/>
          <w:sz w:val="20"/>
          <w:szCs w:val="20"/>
          <w:highlight w:val="white"/>
        </w:rPr>
        <w:t xml:space="preserve">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r>
        <w:rPr>
          <w:rFonts w:ascii="Arial" w:hAnsi="Arial" w:cs="Arial"/>
          <w:sz w:val="20"/>
          <w:szCs w:val="20"/>
          <w:highlight w:val="white"/>
        </w:rPr>
      </w:r>
      <w:r>
        <w:rPr>
          <w:rFonts w:ascii="Arial" w:hAnsi="Arial" w:cs="Arial"/>
          <w:sz w:val="20"/>
          <w:szCs w:val="20"/>
          <w:highlight w:val="white"/>
        </w:rPr>
      </w:r>
    </w:p>
    <w:p>
      <w:pPr>
        <w:tabs>
          <w:tab w:val="left" w:pos="426" w:leader="none"/>
        </w:tabs>
        <w:jc w:val="both"/>
        <w:rPr>
          <w:rFonts w:ascii="Arial" w:hAnsi="Arial" w:cs="Arial"/>
          <w:sz w:val="20"/>
          <w:szCs w:val="20"/>
          <w:highlight w:val="white"/>
        </w:rPr>
      </w:pPr>
      <w:r>
        <w:rPr>
          <w:rFonts w:ascii="Arial" w:hAnsi="Arial" w:cs="Arial"/>
          <w:sz w:val="20"/>
          <w:szCs w:val="20"/>
          <w:highlight w:val="white"/>
        </w:rPr>
        <w:t xml:space="preserve">В случае возникновения у Стороны подозрений, что со Стороны-контрагента и (или) его представителя, и (и</w:t>
      </w:r>
      <w:r>
        <w:rPr>
          <w:rFonts w:ascii="Arial" w:hAnsi="Arial" w:cs="Arial"/>
          <w:sz w:val="20"/>
          <w:szCs w:val="20"/>
          <w:highlight w:val="white"/>
        </w:rPr>
        <w:t xml:space="preserve">ли) работника, и (или) его аффилированного лица произошло или может произойти нарушение каких-либо положений настоящего пункта, соответствующая Сторона обязуется незамедлительно уведомить о данном обстоятельстве другую Сторону в письменной форме и продубли</w:t>
      </w:r>
      <w:r>
        <w:rPr>
          <w:rFonts w:ascii="Arial" w:hAnsi="Arial" w:cs="Arial"/>
          <w:sz w:val="20"/>
          <w:szCs w:val="20"/>
          <w:highlight w:val="white"/>
        </w:rPr>
        <w:t xml:space="preserve">ровать уведомление на горячую линию этой Стороны (почта, указанная в разделе с реквизитами сторон).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w:t>
      </w:r>
      <w:r>
        <w:rPr>
          <w:rFonts w:ascii="Arial" w:hAnsi="Arial" w:cs="Arial"/>
          <w:sz w:val="20"/>
          <w:szCs w:val="20"/>
          <w:highlight w:val="white"/>
        </w:rPr>
        <w:t xml:space="preserve">тороны, что нарушения не произошло или не произойдет. 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r>
        <w:rPr>
          <w:rFonts w:ascii="Arial" w:hAnsi="Arial" w:cs="Arial"/>
          <w:sz w:val="20"/>
          <w:szCs w:val="20"/>
          <w:highlight w:val="white"/>
        </w:rPr>
      </w:r>
      <w:r>
        <w:rPr>
          <w:rFonts w:ascii="Arial" w:hAnsi="Arial" w:cs="Arial"/>
          <w:sz w:val="20"/>
          <w:szCs w:val="20"/>
          <w:highlight w:val="white"/>
        </w:rPr>
      </w:r>
    </w:p>
    <w:p>
      <w:pPr>
        <w:tabs>
          <w:tab w:val="left" w:pos="426" w:leader="none"/>
        </w:tabs>
        <w:jc w:val="both"/>
        <w:rPr>
          <w:rFonts w:ascii="Arial" w:hAnsi="Arial" w:cs="Arial"/>
          <w:sz w:val="20"/>
          <w:szCs w:val="20"/>
          <w:highlight w:val="white"/>
        </w:rPr>
      </w:pPr>
      <w:r>
        <w:rPr>
          <w:rFonts w:ascii="Arial" w:hAnsi="Arial" w:cs="Arial"/>
          <w:sz w:val="20"/>
          <w:szCs w:val="20"/>
          <w:highlight w:val="white"/>
        </w:rPr>
        <w:t xml:space="preserve">В письменном уведомлении Сторона обязана сослаться на факты или предоставить материалы, достов</w:t>
      </w:r>
      <w:r>
        <w:rPr>
          <w:rFonts w:ascii="Arial" w:hAnsi="Arial" w:cs="Arial"/>
          <w:sz w:val="20"/>
          <w:szCs w:val="20"/>
          <w:highlight w:val="white"/>
        </w:rPr>
        <w:t xml:space="preserve">ерно подтверждающие или дающие основание предполагать, что произошло или может произойти нарушение каких-либо положений настоящего пункта Стороной-контрагентом, его аффилированными лицами, работниками или посредниками выражающееся в действиях, квалифицируе</w:t>
      </w:r>
      <w:r>
        <w:rPr>
          <w:rFonts w:ascii="Arial" w:hAnsi="Arial" w:cs="Arial"/>
          <w:sz w:val="20"/>
          <w:szCs w:val="20"/>
          <w:highlight w:val="white"/>
        </w:rPr>
        <w:t xml:space="preserve">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r>
        <w:rPr>
          <w:rFonts w:ascii="Arial" w:hAnsi="Arial" w:cs="Arial"/>
          <w:sz w:val="20"/>
          <w:szCs w:val="20"/>
          <w:highlight w:val="white"/>
        </w:rPr>
      </w:r>
      <w:r>
        <w:rPr>
          <w:rFonts w:ascii="Arial" w:hAnsi="Arial" w:cs="Arial"/>
          <w:sz w:val="20"/>
          <w:szCs w:val="20"/>
          <w:highlight w:val="white"/>
        </w:rPr>
      </w:r>
    </w:p>
    <w:p>
      <w:pPr>
        <w:tabs>
          <w:tab w:val="left" w:pos="426" w:leader="none"/>
        </w:tabs>
        <w:jc w:val="both"/>
        <w:rPr>
          <w:rFonts w:ascii="Arial" w:hAnsi="Arial" w:cs="Arial"/>
          <w:sz w:val="20"/>
          <w:szCs w:val="20"/>
          <w:highlight w:val="white"/>
        </w:rPr>
      </w:pPr>
      <w:r>
        <w:rPr>
          <w:rFonts w:ascii="Arial" w:hAnsi="Arial" w:cs="Arial"/>
          <w:sz w:val="20"/>
          <w:szCs w:val="20"/>
          <w:highlight w:val="white"/>
        </w:rPr>
        <w:t xml:space="preserve">9.2.</w:t>
      </w:r>
      <w:r>
        <w:rPr>
          <w:rFonts w:ascii="Arial" w:hAnsi="Arial" w:cs="Arial"/>
          <w:sz w:val="20"/>
          <w:szCs w:val="20"/>
          <w:highlight w:val="white"/>
        </w:rPr>
        <w:tab/>
        <w:t xml:space="preserve">В случае нарушения одной Стороной обязательств воздерживаться от запрещенных в вышеуказанном пункте настоящего Договора действий и/или неполучения другой Стороной в уста</w:t>
      </w:r>
      <w:r>
        <w:rPr>
          <w:rFonts w:ascii="Arial" w:hAnsi="Arial" w:cs="Arial"/>
          <w:sz w:val="20"/>
          <w:szCs w:val="20"/>
          <w:highlight w:val="white"/>
        </w:rPr>
        <w:t xml:space="preserve">новленном вышеуказанном пункте 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w:t>
      </w:r>
      <w:r>
        <w:rPr>
          <w:rFonts w:ascii="Arial" w:hAnsi="Arial" w:cs="Arial"/>
          <w:sz w:val="20"/>
          <w:szCs w:val="20"/>
          <w:highlight w:val="white"/>
        </w:rPr>
        <w:t xml:space="preserve">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r>
        <w:rPr>
          <w:rFonts w:ascii="Arial" w:hAnsi="Arial" w:cs="Arial"/>
          <w:sz w:val="20"/>
          <w:szCs w:val="20"/>
          <w:highlight w:val="white"/>
        </w:rPr>
      </w:r>
      <w:r>
        <w:rPr>
          <w:rFonts w:ascii="Arial" w:hAnsi="Arial" w:cs="Arial"/>
          <w:sz w:val="20"/>
          <w:szCs w:val="20"/>
          <w:highlight w:val="white"/>
        </w:rPr>
      </w:r>
    </w:p>
    <w:p>
      <w:pPr>
        <w:tabs>
          <w:tab w:val="left" w:pos="426" w:leader="none"/>
        </w:tabs>
        <w:jc w:val="both"/>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p>
      <w:pPr>
        <w:tabs>
          <w:tab w:val="left" w:pos="426" w:leader="none"/>
        </w:tabs>
        <w:jc w:val="both"/>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p>
      <w:pPr>
        <w:tabs>
          <w:tab w:val="left" w:pos="426" w:leader="none"/>
        </w:tabs>
        <w:jc w:val="both"/>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p>
      <w:pPr>
        <w:jc w:val="center"/>
        <w:rPr>
          <w:rFonts w:ascii="Arial" w:hAnsi="Arial" w:cs="Arial"/>
          <w:sz w:val="20"/>
          <w:szCs w:val="20"/>
          <w:highlight w:val="white"/>
        </w:rPr>
      </w:pPr>
      <w:r>
        <w:rPr>
          <w:rFonts w:ascii="Arial" w:hAnsi="Arial" w:cs="Arial"/>
          <w:bCs/>
          <w:sz w:val="20"/>
          <w:szCs w:val="20"/>
          <w:highlight w:val="white"/>
        </w:rPr>
        <w:t xml:space="preserve">10. </w:t>
      </w:r>
      <w:r>
        <w:rPr>
          <w:rFonts w:ascii="Arial" w:hAnsi="Arial" w:cs="Arial"/>
          <w:bCs/>
          <w:sz w:val="20"/>
          <w:szCs w:val="20"/>
          <w:highlight w:val="white"/>
        </w:rPr>
        <w:t xml:space="preserve">НАЛОГОВАЯ ОГОВОРКА</w:t>
      </w:r>
      <w:r>
        <w:rPr>
          <w:rFonts w:ascii="Arial" w:hAnsi="Arial" w:cs="Arial"/>
          <w:sz w:val="20"/>
          <w:szCs w:val="20"/>
          <w:highlight w:val="white"/>
        </w:rPr>
      </w:r>
      <w:r>
        <w:rPr>
          <w:rFonts w:ascii="Arial" w:hAnsi="Arial" w:cs="Arial"/>
          <w:sz w:val="20"/>
          <w:szCs w:val="20"/>
          <w:highlight w:val="white"/>
        </w:rPr>
      </w:r>
    </w:p>
    <w:p>
      <w:pPr>
        <w:jc w:val="both"/>
        <w:rPr>
          <w:rFonts w:ascii="Arial" w:hAnsi="Arial" w:cs="Arial"/>
          <w:sz w:val="18"/>
          <w:szCs w:val="18"/>
          <w:highlight w:val="white"/>
          <w14:ligatures w14:val="none"/>
        </w:rPr>
      </w:pPr>
      <w:r>
        <w:rPr>
          <w:rFonts w:ascii="Arial" w:hAnsi="Arial" w:cs="Arial"/>
          <w:sz w:val="20"/>
          <w:szCs w:val="20"/>
          <w:highlight w:val="white"/>
        </w:rPr>
        <w:t xml:space="preserve">10</w:t>
      </w:r>
      <w:r>
        <w:rPr>
          <w:rFonts w:ascii="Arial" w:hAnsi="Arial" w:cs="Arial"/>
          <w:sz w:val="20"/>
          <w:szCs w:val="20"/>
          <w:highlight w:val="white"/>
        </w:rPr>
        <w:t xml:space="preserve">.1</w:t>
      </w:r>
      <w:r>
        <w:rPr>
          <w:rFonts w:ascii="Arial" w:hAnsi="Arial" w:cs="Arial"/>
          <w:sz w:val="20"/>
          <w:szCs w:val="20"/>
          <w:highlight w:val="white"/>
        </w:rPr>
        <w:t xml:space="preserve">.</w:t>
        <w:tab/>
        <w:t xml:space="preserve">Заверение об обстоятельствах</w:t>
      </w:r>
      <w:r>
        <w:rPr>
          <w:rFonts w:ascii="Arial" w:hAnsi="Arial" w:cs="Arial"/>
          <w:sz w:val="20"/>
          <w:szCs w:val="20"/>
          <w:highlight w:val="white"/>
        </w:rPr>
        <w:t xml:space="preserve">.</w:t>
      </w:r>
      <w:r>
        <w:rPr>
          <w:rFonts w:ascii="Arial" w:hAnsi="Arial" w:cs="Arial"/>
          <w:sz w:val="18"/>
          <w:szCs w:val="18"/>
          <w:highlight w:val="white"/>
          <w14:ligatures w14:val="none"/>
        </w:rPr>
      </w:r>
      <w:r>
        <w:rPr>
          <w:rFonts w:ascii="Arial" w:hAnsi="Arial" w:cs="Arial"/>
          <w:sz w:val="18"/>
          <w:szCs w:val="18"/>
          <w:highlight w:val="white"/>
          <w14:ligatures w14:val="none"/>
        </w:rPr>
      </w:r>
    </w:p>
    <w:p>
      <w:pPr>
        <w:jc w:val="both"/>
        <w:rPr>
          <w:rFonts w:ascii="Arial" w:hAnsi="Arial" w:cs="Arial"/>
          <w:sz w:val="18"/>
          <w:szCs w:val="18"/>
          <w:highlight w:val="white"/>
          <w14:ligatures w14:val="none"/>
        </w:rPr>
      </w:pPr>
      <w:r>
        <w:rPr>
          <w:rFonts w:ascii="Arial" w:hAnsi="Arial" w:cs="Arial"/>
          <w:sz w:val="20"/>
          <w:szCs w:val="20"/>
          <w:highlight w:val="white"/>
        </w:rPr>
        <w:t xml:space="preserve">В соответствии со статьей 431.2 Гражданского кодекса Российской Федерации Исполнитель заверяет Заказчика, что на момент заключения Договора:</w:t>
      </w:r>
      <w:r>
        <w:rPr>
          <w:rFonts w:ascii="Arial" w:hAnsi="Arial" w:cs="Arial"/>
          <w:sz w:val="18"/>
          <w:szCs w:val="18"/>
          <w:highlight w:val="white"/>
          <w14:ligatures w14:val="none"/>
        </w:rPr>
      </w:r>
      <w:r>
        <w:rPr>
          <w:rFonts w:ascii="Arial" w:hAnsi="Arial" w:cs="Arial"/>
          <w:sz w:val="18"/>
          <w:szCs w:val="18"/>
          <w:highlight w:val="white"/>
          <w14:ligatures w14:val="none"/>
        </w:rPr>
      </w:r>
    </w:p>
    <w:p>
      <w:pPr>
        <w:tabs>
          <w:tab w:val="left" w:pos="283" w:leader="none"/>
        </w:tabs>
        <w:jc w:val="both"/>
        <w:rPr>
          <w:rFonts w:ascii="Arial" w:hAnsi="Arial" w:cs="Arial"/>
          <w:sz w:val="18"/>
          <w:szCs w:val="18"/>
          <w:highlight w:val="white"/>
          <w14:ligatures w14:val="none"/>
        </w:rPr>
      </w:pPr>
      <w:r>
        <w:rPr>
          <w:rFonts w:ascii="Arial" w:hAnsi="Arial" w:cs="Arial"/>
          <w:sz w:val="20"/>
          <w:szCs w:val="20"/>
          <w:highlight w:val="white"/>
        </w:rPr>
        <w:t xml:space="preserve">a)</w:t>
        <w:tab/>
        <w:t xml:space="preserve">работники и иные физические лица, привлекаемые Исполнителем</w:t>
        <w:tab/>
        <w:t xml:space="preserve">для исполнения обязательств, возникших из настоящего Договора, имеют необходимые для этого знания, опыт и квалификацию, подтверждаемые соответствующими документами.</w:t>
      </w:r>
      <w:r>
        <w:rPr>
          <w:rFonts w:ascii="Arial" w:hAnsi="Arial" w:cs="Arial"/>
          <w:sz w:val="18"/>
          <w:szCs w:val="18"/>
          <w:highlight w:val="white"/>
          <w14:ligatures w14:val="none"/>
        </w:rPr>
      </w:r>
      <w:r>
        <w:rPr>
          <w:rFonts w:ascii="Arial" w:hAnsi="Arial" w:cs="Arial"/>
          <w:sz w:val="18"/>
          <w:szCs w:val="18"/>
          <w:highlight w:val="white"/>
          <w14:ligatures w14:val="none"/>
        </w:rPr>
      </w:r>
    </w:p>
    <w:p>
      <w:pPr>
        <w:tabs>
          <w:tab w:val="left" w:pos="283" w:leader="none"/>
        </w:tabs>
        <w:jc w:val="both"/>
        <w:rPr>
          <w:rFonts w:ascii="Arial" w:hAnsi="Arial" w:cs="Arial"/>
          <w:sz w:val="18"/>
          <w:szCs w:val="18"/>
          <w:highlight w:val="white"/>
          <w14:ligatures w14:val="none"/>
        </w:rPr>
      </w:pPr>
      <w:r>
        <w:rPr>
          <w:rFonts w:ascii="Arial" w:hAnsi="Arial" w:cs="Arial"/>
          <w:sz w:val="20"/>
          <w:szCs w:val="20"/>
          <w:highlight w:val="white"/>
        </w:rPr>
        <w:t xml:space="preserve">b)</w:t>
        <w:tab/>
        <w:t xml:space="preserve">Исполнитель, а также привлекаем</w:t>
      </w:r>
      <w:r>
        <w:rPr>
          <w:rFonts w:ascii="Arial" w:hAnsi="Arial" w:cs="Arial"/>
          <w:sz w:val="20"/>
          <w:szCs w:val="20"/>
          <w:highlight w:val="white"/>
        </w:rPr>
        <w:t xml:space="preserve">ые им в целях исполнения Договора лица (субподрядчики, субисполнители, субпоставщики и т.п.) обладают ресурсами, технологиями, деловыми связями, знаниями, навыками и умениями, а также опытом, необходимыми для исполнения обязательств, возникших из Договора;</w:t>
      </w:r>
      <w:r>
        <w:rPr>
          <w:rFonts w:ascii="Arial" w:hAnsi="Arial" w:cs="Arial"/>
          <w:sz w:val="18"/>
          <w:szCs w:val="18"/>
          <w:highlight w:val="white"/>
          <w14:ligatures w14:val="none"/>
        </w:rPr>
      </w:r>
      <w:r>
        <w:rPr>
          <w:rFonts w:ascii="Arial" w:hAnsi="Arial" w:cs="Arial"/>
          <w:sz w:val="18"/>
          <w:szCs w:val="18"/>
          <w:highlight w:val="white"/>
          <w14:ligatures w14:val="none"/>
        </w:rPr>
      </w:r>
    </w:p>
    <w:p>
      <w:pPr>
        <w:tabs>
          <w:tab w:val="left" w:pos="283" w:leader="none"/>
        </w:tabs>
        <w:jc w:val="both"/>
        <w:rPr>
          <w:rFonts w:ascii="Arial" w:hAnsi="Arial" w:cs="Arial"/>
          <w:sz w:val="18"/>
          <w:szCs w:val="18"/>
          <w:highlight w:val="white"/>
          <w14:ligatures w14:val="none"/>
        </w:rPr>
      </w:pPr>
      <w:r>
        <w:rPr>
          <w:rFonts w:ascii="Arial" w:hAnsi="Arial" w:cs="Arial"/>
          <w:sz w:val="20"/>
          <w:szCs w:val="20"/>
          <w:highlight w:val="white"/>
        </w:rPr>
        <w:t xml:space="preserve">c)</w:t>
        <w:tab/>
        <w:t xml:space="preserve">Исполнитель, а также привлекаемые им в целях исполнения Договора лица (субподрядчики, субисполнители, субпоставщики и т.п.) являются добросовестными налогоп</w:t>
      </w:r>
      <w:r>
        <w:rPr>
          <w:rFonts w:ascii="Arial" w:hAnsi="Arial" w:cs="Arial"/>
          <w:sz w:val="20"/>
          <w:szCs w:val="20"/>
          <w:highlight w:val="white"/>
        </w:rPr>
        <w:t xml:space="preserve">лательщиками; в отношении каждого привлеченного лица (субподрядчика, субисполнителя, субпоставщика и т.п.) Исполнитель располагает необходимыми документами, свидетельствующими о соблюдении привлеченными Исполнителями требований налогового законодательства;</w:t>
      </w:r>
      <w:r>
        <w:rPr>
          <w:rFonts w:ascii="Arial" w:hAnsi="Arial" w:cs="Arial"/>
          <w:sz w:val="18"/>
          <w:szCs w:val="18"/>
          <w:highlight w:val="white"/>
          <w14:ligatures w14:val="none"/>
        </w:rPr>
      </w:r>
      <w:r>
        <w:rPr>
          <w:rFonts w:ascii="Arial" w:hAnsi="Arial" w:cs="Arial"/>
          <w:sz w:val="18"/>
          <w:szCs w:val="18"/>
          <w:highlight w:val="white"/>
          <w14:ligatures w14:val="none"/>
        </w:rPr>
      </w:r>
    </w:p>
    <w:p>
      <w:pPr>
        <w:tabs>
          <w:tab w:val="left" w:pos="283" w:leader="none"/>
        </w:tabs>
        <w:jc w:val="both"/>
        <w:rPr>
          <w:rFonts w:ascii="Arial" w:hAnsi="Arial" w:cs="Arial"/>
          <w:sz w:val="18"/>
          <w:szCs w:val="18"/>
          <w:highlight w:val="white"/>
          <w14:ligatures w14:val="none"/>
        </w:rPr>
      </w:pPr>
      <w:r>
        <w:rPr>
          <w:rFonts w:ascii="Arial" w:hAnsi="Arial" w:cs="Arial"/>
          <w:sz w:val="20"/>
          <w:szCs w:val="20"/>
          <w:highlight w:val="white"/>
        </w:rPr>
        <w:t xml:space="preserve">d)</w:t>
        <w:tab/>
        <w:t xml:space="preserve">обязательства по Договору будут исполняться непосредственно Исполнителем и (или) лицом (лицами), на которого</w:t>
      </w:r>
      <w:r>
        <w:rPr>
          <w:rFonts w:ascii="Arial" w:hAnsi="Arial" w:cs="Arial"/>
          <w:sz w:val="20"/>
          <w:szCs w:val="20"/>
          <w:highlight w:val="white"/>
        </w:rPr>
        <w:t xml:space="preserve"> </w:t>
      </w:r>
      <w:r>
        <w:rPr>
          <w:rFonts w:ascii="Arial" w:hAnsi="Arial" w:cs="Arial"/>
          <w:sz w:val="20"/>
          <w:szCs w:val="20"/>
          <w:highlight w:val="white"/>
        </w:rPr>
        <w:t xml:space="preserve">(которых) Исполнитель возложил исполнение обязательств по соответствующему Договору, Исполнитель несет ответственность за действительность отношений с лицами, привлекаемыми им в целях исполнения обязательств по Договору.</w:t>
      </w:r>
      <w:r>
        <w:rPr>
          <w:rFonts w:ascii="Arial" w:hAnsi="Arial" w:cs="Arial"/>
          <w:sz w:val="18"/>
          <w:szCs w:val="18"/>
          <w:highlight w:val="white"/>
          <w14:ligatures w14:val="none"/>
        </w:rPr>
      </w:r>
      <w:r>
        <w:rPr>
          <w:rFonts w:ascii="Arial" w:hAnsi="Arial" w:cs="Arial"/>
          <w:sz w:val="18"/>
          <w:szCs w:val="18"/>
          <w:highlight w:val="white"/>
          <w14:ligatures w14:val="none"/>
        </w:rPr>
      </w:r>
    </w:p>
    <w:p>
      <w:pPr>
        <w:jc w:val="both"/>
        <w:rPr>
          <w:rFonts w:ascii="Arial" w:hAnsi="Arial" w:cs="Arial"/>
          <w:sz w:val="20"/>
          <w:szCs w:val="20"/>
          <w:highlight w:val="none"/>
          <w14:ligatures w14:val="none"/>
        </w:rPr>
      </w:pPr>
      <w:r>
        <w:rPr>
          <w:rFonts w:ascii="Arial" w:hAnsi="Arial" w:cs="Arial"/>
          <w:sz w:val="20"/>
          <w:szCs w:val="20"/>
          <w:highlight w:val="white"/>
        </w:rPr>
      </w:r>
      <w:r>
        <w:rPr>
          <w:rFonts w:ascii="Arial" w:hAnsi="Arial" w:cs="Arial"/>
          <w:sz w:val="20"/>
          <w:szCs w:val="20"/>
          <w:highlight w:val="white"/>
        </w:rPr>
        <w:t xml:space="preserve">Заказчик полагается на указанные в настоящем пункте заверения об обстоятельствах при заключении и исполнении настоящего Договора, каждое из указанных заверений имеет для Заказчика существенное значение.</w:t>
      </w:r>
      <w:r>
        <w:rPr>
          <w:rFonts w:ascii="Arial" w:hAnsi="Arial" w:cs="Arial"/>
          <w:sz w:val="20"/>
          <w:szCs w:val="20"/>
          <w:highlight w:val="none"/>
          <w14:ligatures w14:val="none"/>
        </w:rPr>
      </w:r>
      <w:r>
        <w:rPr>
          <w:rFonts w:ascii="Arial" w:hAnsi="Arial" w:cs="Arial"/>
          <w:sz w:val="20"/>
          <w:szCs w:val="20"/>
          <w:highlight w:val="none"/>
          <w14:ligatures w14:val="none"/>
        </w:rPr>
      </w:r>
    </w:p>
    <w:p>
      <w:pPr>
        <w:jc w:val="both"/>
        <w:rPr>
          <w:rFonts w:ascii="Arial" w:hAnsi="Arial" w:cs="Arial"/>
          <w:sz w:val="18"/>
          <w:szCs w:val="18"/>
          <w:highlight w:val="white"/>
          <w14:ligatures w14:val="none"/>
        </w:rPr>
      </w:pPr>
      <w:r>
        <w:rPr>
          <w:rFonts w:ascii="Arial" w:hAnsi="Arial" w:cs="Arial"/>
          <w:sz w:val="20"/>
          <w:szCs w:val="20"/>
          <w:highlight w:val="white"/>
        </w:rPr>
        <w:t xml:space="preserve">10</w:t>
      </w:r>
      <w:r>
        <w:rPr>
          <w:rFonts w:ascii="Arial" w:hAnsi="Arial" w:cs="Arial"/>
          <w:sz w:val="20"/>
          <w:szCs w:val="20"/>
          <w:highlight w:val="white"/>
        </w:rPr>
        <w:t xml:space="preserve">.2</w:t>
        <w:tab/>
      </w:r>
      <w:r>
        <w:rPr>
          <w:rFonts w:ascii="Arial" w:hAnsi="Arial" w:cs="Arial"/>
          <w:sz w:val="20"/>
          <w:szCs w:val="20"/>
          <w:highlight w:val="white"/>
        </w:rPr>
        <w:t xml:space="preserve"> </w:t>
      </w:r>
      <w:r>
        <w:rPr>
          <w:rFonts w:ascii="Arial" w:hAnsi="Arial" w:cs="Arial"/>
          <w:sz w:val="20"/>
          <w:szCs w:val="20"/>
          <w:highlight w:val="white"/>
        </w:rPr>
        <w:t xml:space="preserve">В соответствии со статьей 307 Гражданского кодекса Российской Федерации Исполнитель обязуется обеспечить соответствие своей деятельности и деятельности привлекаемых им лиц (субподрядчиков, субисполнителей, субпоставщиков и т</w:t>
      </w:r>
      <w:r>
        <w:rPr>
          <w:rFonts w:ascii="Arial" w:hAnsi="Arial" w:cs="Arial"/>
          <w:sz w:val="20"/>
          <w:szCs w:val="20"/>
          <w:highlight w:val="white"/>
        </w:rPr>
        <w:t xml:space="preserve">.п.) условиям, указанным в п. 10</w:t>
      </w:r>
      <w:r>
        <w:rPr>
          <w:rFonts w:ascii="Arial" w:hAnsi="Arial" w:cs="Arial"/>
          <w:sz w:val="20"/>
          <w:szCs w:val="20"/>
          <w:highlight w:val="white"/>
        </w:rPr>
        <w:t xml:space="preserve">.1. Договора, в налоговых периодах, в течение которых осуществляется исполнение обязательств по Договору, совершаются какие-либо операции по Договору. В этом смысле все обстоятельства, в отношении которых Ис</w:t>
      </w:r>
      <w:r>
        <w:rPr>
          <w:rFonts w:ascii="Arial" w:hAnsi="Arial" w:cs="Arial"/>
          <w:sz w:val="20"/>
          <w:szCs w:val="20"/>
          <w:highlight w:val="white"/>
        </w:rPr>
        <w:t xml:space="preserve">полнитель дает заверения в п. 10</w:t>
      </w:r>
      <w:r>
        <w:rPr>
          <w:rFonts w:ascii="Arial" w:hAnsi="Arial" w:cs="Arial"/>
          <w:sz w:val="20"/>
          <w:szCs w:val="20"/>
          <w:highlight w:val="white"/>
        </w:rPr>
        <w:t xml:space="preserve">.1. Договора на момент его заключения, одновременно являются условиями, исполнение которых Исполнитель обязуется обеспечить в будущем и отвечать за их неисполнение по правилам главы 25 Гражданского кодекса Российской Федерации. </w:t>
      </w:r>
      <w:r>
        <w:rPr>
          <w:rFonts w:ascii="Arial" w:hAnsi="Arial" w:cs="Arial"/>
          <w:sz w:val="18"/>
          <w:szCs w:val="18"/>
          <w:highlight w:val="white"/>
          <w14:ligatures w14:val="none"/>
        </w:rPr>
      </w:r>
      <w:r>
        <w:rPr>
          <w:rFonts w:ascii="Arial" w:hAnsi="Arial" w:cs="Arial"/>
          <w:sz w:val="18"/>
          <w:szCs w:val="18"/>
          <w:highlight w:val="white"/>
          <w14:ligatures w14:val="none"/>
        </w:rPr>
      </w:r>
    </w:p>
    <w:p>
      <w:pPr>
        <w:jc w:val="left"/>
        <w:rPr>
          <w:rFonts w:ascii="Arial" w:hAnsi="Arial" w:cs="Arial"/>
          <w:sz w:val="20"/>
          <w:szCs w:val="20"/>
          <w:highlight w:val="none"/>
        </w:rPr>
      </w:pPr>
      <w:r>
        <w:rPr>
          <w:rFonts w:ascii="Arial" w:hAnsi="Arial" w:cs="Arial"/>
          <w:sz w:val="20"/>
          <w:szCs w:val="20"/>
          <w:highlight w:val="white"/>
        </w:rPr>
        <w:t xml:space="preserve">10.3. </w:t>
      </w:r>
      <w:r>
        <w:rPr>
          <w:rFonts w:ascii="Arial" w:hAnsi="Arial" w:cs="Arial"/>
          <w:sz w:val="20"/>
          <w:szCs w:val="20"/>
          <w:highlight w:val="white"/>
        </w:rPr>
        <w:t xml:space="preserve">Возмещение имущественных потерь.</w:t>
      </w:r>
      <w:r>
        <w:rPr>
          <w:rFonts w:ascii="Arial" w:hAnsi="Arial" w:cs="Arial"/>
          <w:sz w:val="20"/>
          <w:szCs w:val="20"/>
          <w:highlight w:val="none"/>
        </w:rPr>
      </w:r>
      <w:r>
        <w:rPr>
          <w:rFonts w:ascii="Arial" w:hAnsi="Arial" w:cs="Arial"/>
          <w:sz w:val="20"/>
          <w:szCs w:val="20"/>
          <w:highlight w:val="none"/>
        </w:rPr>
      </w:r>
    </w:p>
    <w:p>
      <w:pPr>
        <w:tabs>
          <w:tab w:val="left" w:pos="426" w:leader="none"/>
        </w:tabs>
        <w:jc w:val="both"/>
        <w:rPr>
          <w:rFonts w:ascii="Arial" w:hAnsi="Arial" w:cs="Arial"/>
          <w:sz w:val="20"/>
          <w:szCs w:val="20"/>
          <w:highlight w:val="white"/>
        </w:rPr>
      </w:pPr>
      <w:r>
        <w:rPr>
          <w:rFonts w:ascii="Arial" w:hAnsi="Arial" w:cs="Arial"/>
          <w:sz w:val="20"/>
          <w:szCs w:val="20"/>
          <w:highlight w:val="white"/>
        </w:rPr>
        <w:t xml:space="preserve">В соответств</w:t>
      </w:r>
      <w:r>
        <w:rPr>
          <w:rFonts w:ascii="Arial" w:hAnsi="Arial" w:cs="Arial"/>
          <w:sz w:val="20"/>
          <w:szCs w:val="20"/>
          <w:highlight w:val="white"/>
        </w:rPr>
        <w:t xml:space="preserve">и</w:t>
      </w:r>
      <w:r>
        <w:rPr>
          <w:rFonts w:ascii="Arial" w:hAnsi="Arial" w:cs="Arial"/>
          <w:sz w:val="20"/>
          <w:szCs w:val="20"/>
          <w:highlight w:val="white"/>
        </w:rPr>
        <w:t xml:space="preserve">и со статьей 406.1 Гражданского кодекса Российской Федерации Исполнитель обязуется возместить Заказчику полностью все его имущественные потери, возникшие в связи с искажением Исполнителем сведений о фактах хозяйственной жизни и об объектах налогообложения,</w:t>
      </w:r>
      <w:r>
        <w:rPr>
          <w:rFonts w:ascii="Arial" w:hAnsi="Arial" w:cs="Arial"/>
          <w:sz w:val="20"/>
          <w:szCs w:val="20"/>
          <w:highlight w:val="white"/>
        </w:rPr>
        <w:t xml:space="preserve"> а также в связи с неисполнением или ненадлежащим исполнением Исполнителя своих налоговых обязанностей, либо в связи с привлечением им в качестве своих исполнителей (например, субподрядчиков, субпоставщиков) организаций, не исполняющих либо ненадлежащим об</w:t>
      </w:r>
      <w:r>
        <w:rPr>
          <w:rFonts w:ascii="Arial" w:hAnsi="Arial" w:cs="Arial"/>
          <w:sz w:val="20"/>
          <w:szCs w:val="20"/>
          <w:highlight w:val="white"/>
        </w:rPr>
        <w:t xml:space="preserve">разом исполняющих свои налоговые обязанности или имеющих иные признаки недобросовестности, либо в связи с привлечением исполнителями Исполнителя в качестве своих исполнителей организаций, не исполняющих либо ненадлежащим образом исполняющих свои налоговые </w:t>
      </w:r>
      <w:r>
        <w:rPr>
          <w:rFonts w:ascii="Arial" w:hAnsi="Arial" w:cs="Arial"/>
          <w:sz w:val="20"/>
          <w:szCs w:val="20"/>
          <w:highlight w:val="white"/>
        </w:rPr>
        <w:t xml:space="preserve">обязанности или имеющих иные признаки недобросовестности независимо от длины цепочки исполнителей (и в любом из указанных случаев - независимо от того, знал ли Исполнитель о данных фактах или нет), в случае наступления совокупности следующих обстоятельств:</w:t>
      </w:r>
      <w:r>
        <w:rPr>
          <w:rFonts w:ascii="Arial" w:hAnsi="Arial" w:cs="Arial"/>
          <w:sz w:val="20"/>
          <w:szCs w:val="20"/>
          <w:highlight w:val="white"/>
        </w:rPr>
      </w:r>
      <w:r>
        <w:rPr>
          <w:rFonts w:ascii="Arial" w:hAnsi="Arial" w:cs="Arial"/>
          <w:sz w:val="20"/>
          <w:szCs w:val="20"/>
          <w:highlight w:val="white"/>
        </w:rPr>
      </w:r>
    </w:p>
    <w:p>
      <w:pPr>
        <w:tabs>
          <w:tab w:val="left" w:pos="426" w:leader="none"/>
        </w:tabs>
        <w:jc w:val="both"/>
        <w:rPr>
          <w:rFonts w:ascii="Arial" w:hAnsi="Arial" w:cs="Arial"/>
          <w:sz w:val="20"/>
          <w:szCs w:val="20"/>
          <w:highlight w:val="white"/>
        </w:rPr>
      </w:pPr>
      <w:r>
        <w:rPr>
          <w:rFonts w:ascii="Arial" w:hAnsi="Arial" w:cs="Arial"/>
          <w:sz w:val="20"/>
          <w:szCs w:val="20"/>
          <w:highlight w:val="white"/>
        </w:rPr>
        <w:t xml:space="preserve">а) в порядке применения статьи 101, 105.17 Налогового кодекса Российской Федерации налоговым органом в отношении Заказчика вынесено решение</w:t>
      </w:r>
      <w:r>
        <w:rPr>
          <w:rFonts w:ascii="Arial" w:hAnsi="Arial" w:cs="Arial"/>
          <w:sz w:val="20"/>
          <w:szCs w:val="20"/>
          <w:highlight w:val="white"/>
        </w:rPr>
        <w:t xml:space="preserve"> о привлечении к ответственности или об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(далее – «Решение налогового органа»), </w:t>
      </w:r>
      <w:r>
        <w:rPr>
          <w:rFonts w:ascii="Arial" w:hAnsi="Arial" w:cs="Arial"/>
          <w:sz w:val="20"/>
          <w:szCs w:val="20"/>
          <w:highlight w:val="white"/>
        </w:rPr>
      </w:r>
      <w:r>
        <w:rPr>
          <w:rFonts w:ascii="Arial" w:hAnsi="Arial" w:cs="Arial"/>
          <w:sz w:val="20"/>
          <w:szCs w:val="20"/>
          <w:highlight w:val="white"/>
        </w:rPr>
      </w:r>
    </w:p>
    <w:p>
      <w:pPr>
        <w:tabs>
          <w:tab w:val="left" w:pos="426" w:leader="none"/>
        </w:tabs>
        <w:jc w:val="both"/>
        <w:rPr>
          <w:rFonts w:ascii="Arial" w:hAnsi="Arial" w:cs="Arial"/>
          <w:sz w:val="20"/>
          <w:szCs w:val="20"/>
          <w:highlight w:val="white"/>
        </w:rPr>
      </w:pPr>
      <w:r>
        <w:rPr>
          <w:rFonts w:ascii="Arial" w:hAnsi="Arial" w:cs="Arial"/>
          <w:sz w:val="20"/>
          <w:szCs w:val="20"/>
          <w:highlight w:val="white"/>
        </w:rPr>
        <w:t xml:space="preserve">либо в порядке статьи 105.30 Налогового кодекса Российской Федерации от налогового органа получено мотивированное мнение с указанием сумм недоимки по налогам (налог на прибыль, НДС), соответствующих сумм пеней (далее – «Мотивированное мнение»);</w:t>
      </w:r>
      <w:r>
        <w:rPr>
          <w:rFonts w:ascii="Arial" w:hAnsi="Arial" w:cs="Arial"/>
          <w:sz w:val="20"/>
          <w:szCs w:val="20"/>
          <w:highlight w:val="white"/>
        </w:rPr>
      </w:r>
      <w:r>
        <w:rPr>
          <w:rFonts w:ascii="Arial" w:hAnsi="Arial" w:cs="Arial"/>
          <w:sz w:val="20"/>
          <w:szCs w:val="20"/>
          <w:highlight w:val="white"/>
        </w:rPr>
      </w:r>
    </w:p>
    <w:p>
      <w:pPr>
        <w:tabs>
          <w:tab w:val="left" w:pos="426" w:leader="none"/>
        </w:tabs>
        <w:jc w:val="both"/>
        <w:rPr>
          <w:rFonts w:ascii="Arial" w:hAnsi="Arial" w:cs="Arial"/>
          <w:sz w:val="20"/>
          <w:szCs w:val="20"/>
          <w:highlight w:val="white"/>
        </w:rPr>
      </w:pPr>
      <w:r>
        <w:rPr>
          <w:rFonts w:ascii="Arial" w:hAnsi="Arial" w:cs="Arial"/>
          <w:sz w:val="20"/>
          <w:szCs w:val="20"/>
          <w:highlight w:val="white"/>
        </w:rPr>
        <w:t xml:space="preserve">б) суммы недоимки по налогам (налог на прибыль, НДС), соответствующие суммы штрафов (если применимо), пеней списаны с банковского счета Заказчика в </w:t>
      </w:r>
      <w:r>
        <w:rPr>
          <w:rFonts w:ascii="Arial" w:hAnsi="Arial" w:cs="Arial"/>
          <w:sz w:val="20"/>
          <w:szCs w:val="20"/>
          <w:highlight w:val="white"/>
        </w:rPr>
        <w:t xml:space="preserve">безакцептном</w:t>
      </w:r>
      <w:r>
        <w:rPr>
          <w:rFonts w:ascii="Arial" w:hAnsi="Arial" w:cs="Arial"/>
          <w:sz w:val="20"/>
          <w:szCs w:val="20"/>
          <w:highlight w:val="white"/>
        </w:rPr>
        <w:t xml:space="preserve"> порядке или перечислены Заказчиком добровольно (вследствие добровольного отказа Покупателя/Сублицензиата от применения вычета по операциям с Исполнителем) в соответствии с Решением налогового органа или, </w:t>
      </w:r>
      <w:r>
        <w:rPr>
          <w:rFonts w:ascii="Arial" w:hAnsi="Arial" w:cs="Arial"/>
          <w:sz w:val="20"/>
          <w:szCs w:val="20"/>
          <w:highlight w:val="white"/>
        </w:rPr>
        <w:t xml:space="preserve">по Мотивированному мнению, налогового органа.</w:t>
      </w:r>
      <w:r>
        <w:rPr>
          <w:rFonts w:ascii="Arial" w:hAnsi="Arial" w:cs="Arial"/>
          <w:sz w:val="20"/>
          <w:szCs w:val="20"/>
          <w:highlight w:val="white"/>
        </w:rPr>
      </w:r>
      <w:r>
        <w:rPr>
          <w:rFonts w:ascii="Arial" w:hAnsi="Arial" w:cs="Arial"/>
          <w:sz w:val="20"/>
          <w:szCs w:val="20"/>
          <w:highlight w:val="white"/>
        </w:rPr>
      </w:r>
    </w:p>
    <w:p>
      <w:pPr>
        <w:tabs>
          <w:tab w:val="left" w:pos="426" w:leader="none"/>
        </w:tabs>
        <w:jc w:val="both"/>
        <w:rPr>
          <w:rFonts w:ascii="Arial" w:hAnsi="Arial" w:cs="Arial"/>
          <w:sz w:val="20"/>
          <w:szCs w:val="20"/>
          <w:highlight w:val="white"/>
        </w:rPr>
      </w:pPr>
      <w:r>
        <w:rPr>
          <w:rFonts w:ascii="Arial" w:hAnsi="Arial" w:cs="Arial"/>
          <w:sz w:val="20"/>
          <w:szCs w:val="20"/>
          <w:highlight w:val="white"/>
        </w:rPr>
        <w:t xml:space="preserve">Размер имущественных потерь Заказчика определяется как совокупность следующих сумм:</w:t>
      </w:r>
      <w:r>
        <w:rPr>
          <w:rFonts w:ascii="Arial" w:hAnsi="Arial" w:cs="Arial"/>
          <w:sz w:val="20"/>
          <w:szCs w:val="20"/>
          <w:highlight w:val="white"/>
        </w:rPr>
      </w:r>
      <w:r>
        <w:rPr>
          <w:rFonts w:ascii="Arial" w:hAnsi="Arial" w:cs="Arial"/>
          <w:sz w:val="20"/>
          <w:szCs w:val="20"/>
          <w:highlight w:val="white"/>
        </w:rPr>
      </w:r>
    </w:p>
    <w:p>
      <w:pPr>
        <w:tabs>
          <w:tab w:val="left" w:pos="426" w:leader="none"/>
        </w:tabs>
        <w:jc w:val="both"/>
        <w:rPr>
          <w:rFonts w:ascii="Arial" w:hAnsi="Arial" w:cs="Arial"/>
          <w:sz w:val="20"/>
          <w:szCs w:val="20"/>
          <w:highlight w:val="white"/>
        </w:rPr>
      </w:pPr>
      <w:r>
        <w:rPr>
          <w:rFonts w:ascii="Arial" w:hAnsi="Arial" w:cs="Arial"/>
          <w:sz w:val="20"/>
          <w:szCs w:val="20"/>
          <w:highlight w:val="white"/>
        </w:rPr>
        <w:t xml:space="preserve">- суммы налога на прибыль и/или НДС, доначисленного Заказчику в связи с эпизодами, связанными с</w:t>
      </w:r>
      <w:r>
        <w:rPr>
          <w:rFonts w:ascii="Arial" w:hAnsi="Arial" w:cs="Arial"/>
          <w:sz w:val="20"/>
          <w:szCs w:val="20"/>
          <w:highlight w:val="white"/>
        </w:rPr>
        <w:t xml:space="preserve"> Покупателем/Сублицензиатом, или уплаченного Заказчиком в бюджет вследствие добровольного отказа Заказчика от применения вычета по операциям с Исполнителем («Доначисленные налоги») в соответствии с Решением налогового органа </w:t>
      </w:r>
      <w:r>
        <w:rPr>
          <w:rFonts w:ascii="Arial" w:hAnsi="Arial" w:cs="Arial"/>
          <w:sz w:val="20"/>
          <w:szCs w:val="20"/>
          <w:highlight w:val="white"/>
        </w:rPr>
        <w:t xml:space="preserve">или Мотивированным мнением</w:t>
      </w:r>
      <w:r>
        <w:rPr>
          <w:rFonts w:ascii="Arial" w:hAnsi="Arial" w:cs="Arial"/>
          <w:sz w:val="20"/>
          <w:szCs w:val="20"/>
          <w:highlight w:val="white"/>
        </w:rPr>
        <w:t xml:space="preserve">; плюс</w:t>
      </w:r>
      <w:r>
        <w:rPr>
          <w:rFonts w:ascii="Arial" w:hAnsi="Arial" w:cs="Arial"/>
          <w:sz w:val="20"/>
          <w:szCs w:val="20"/>
          <w:highlight w:val="white"/>
        </w:rPr>
      </w:r>
      <w:r>
        <w:rPr>
          <w:rFonts w:ascii="Arial" w:hAnsi="Arial" w:cs="Arial"/>
          <w:sz w:val="20"/>
          <w:szCs w:val="20"/>
          <w:highlight w:val="white"/>
        </w:rPr>
      </w:r>
    </w:p>
    <w:p>
      <w:pPr>
        <w:tabs>
          <w:tab w:val="left" w:pos="426" w:leader="none"/>
        </w:tabs>
        <w:jc w:val="both"/>
        <w:rPr>
          <w:rFonts w:ascii="Arial" w:hAnsi="Arial" w:cs="Arial"/>
          <w:sz w:val="20"/>
          <w:szCs w:val="20"/>
          <w:highlight w:val="white"/>
        </w:rPr>
      </w:pPr>
      <w:r>
        <w:rPr>
          <w:rFonts w:ascii="Arial" w:hAnsi="Arial" w:cs="Arial"/>
          <w:sz w:val="20"/>
          <w:szCs w:val="20"/>
          <w:highlight w:val="white"/>
        </w:rPr>
        <w:t xml:space="preserve">- суммы начисленных Заказчику пеней на сумму Доначисленных налогов в соответствии с Решением налогового органа («Пени») или Мотивированным мнением; плюс</w:t>
      </w:r>
      <w:r>
        <w:rPr>
          <w:rFonts w:ascii="Arial" w:hAnsi="Arial" w:cs="Arial"/>
          <w:sz w:val="20"/>
          <w:szCs w:val="20"/>
          <w:highlight w:val="white"/>
        </w:rPr>
      </w:r>
      <w:r>
        <w:rPr>
          <w:rFonts w:ascii="Arial" w:hAnsi="Arial" w:cs="Arial"/>
          <w:sz w:val="20"/>
          <w:szCs w:val="20"/>
          <w:highlight w:val="white"/>
        </w:rPr>
      </w:r>
    </w:p>
    <w:p>
      <w:pPr>
        <w:tabs>
          <w:tab w:val="left" w:pos="426" w:leader="none"/>
        </w:tabs>
        <w:jc w:val="both"/>
        <w:rPr>
          <w:rFonts w:ascii="Arial" w:hAnsi="Arial" w:cs="Arial"/>
          <w:sz w:val="20"/>
          <w:szCs w:val="20"/>
          <w:highlight w:val="white"/>
        </w:rPr>
      </w:pPr>
      <w:r>
        <w:rPr>
          <w:rFonts w:ascii="Arial" w:hAnsi="Arial" w:cs="Arial"/>
          <w:sz w:val="20"/>
          <w:szCs w:val="20"/>
          <w:highlight w:val="white"/>
        </w:rPr>
        <w:t xml:space="preserve">- штрафов, начисленных Заказчику за соответствующие налоговые нарушения в связи с неуплатой Доначисленных налогов в соответствии с Решением налогового органа («Штрафы»).</w:t>
      </w:r>
      <w:r>
        <w:rPr>
          <w:rFonts w:ascii="Arial" w:hAnsi="Arial" w:cs="Arial"/>
          <w:sz w:val="20"/>
          <w:szCs w:val="20"/>
          <w:highlight w:val="white"/>
        </w:rPr>
      </w:r>
      <w:r>
        <w:rPr>
          <w:rFonts w:ascii="Arial" w:hAnsi="Arial" w:cs="Arial"/>
          <w:sz w:val="20"/>
          <w:szCs w:val="20"/>
          <w:highlight w:val="white"/>
        </w:rPr>
      </w:r>
    </w:p>
    <w:p>
      <w:pPr>
        <w:tabs>
          <w:tab w:val="left" w:pos="426" w:leader="none"/>
        </w:tabs>
        <w:jc w:val="both"/>
        <w:rPr>
          <w:rFonts w:ascii="Arial" w:hAnsi="Arial" w:cs="Arial"/>
          <w:sz w:val="20"/>
          <w:szCs w:val="20"/>
          <w:highlight w:val="white"/>
        </w:rPr>
      </w:pPr>
      <w:r>
        <w:rPr>
          <w:rFonts w:ascii="Arial" w:hAnsi="Arial" w:cs="Arial"/>
          <w:sz w:val="20"/>
          <w:szCs w:val="20"/>
          <w:highlight w:val="white"/>
        </w:rPr>
        <w:t xml:space="preserve">Исполнитель возмещает Заказчику указанные в настоящем пункте имущественные потери в течение 10 (десяти) дней с даты предъявления Заказчиком соответствующего требования.</w:t>
      </w:r>
      <w:r>
        <w:rPr>
          <w:rFonts w:ascii="Arial" w:hAnsi="Arial" w:cs="Arial"/>
          <w:sz w:val="20"/>
          <w:szCs w:val="20"/>
          <w:highlight w:val="white"/>
        </w:rPr>
      </w:r>
      <w:r>
        <w:rPr>
          <w:rFonts w:ascii="Arial" w:hAnsi="Arial" w:cs="Arial"/>
          <w:sz w:val="20"/>
          <w:szCs w:val="20"/>
          <w:highlight w:val="white"/>
        </w:rPr>
      </w:r>
    </w:p>
    <w:p>
      <w:pPr>
        <w:tabs>
          <w:tab w:val="left" w:pos="426" w:leader="none"/>
        </w:tabs>
        <w:jc w:val="both"/>
        <w:rPr>
          <w:rFonts w:ascii="Arial" w:hAnsi="Arial" w:cs="Arial"/>
          <w:sz w:val="20"/>
          <w:szCs w:val="20"/>
          <w:highlight w:val="white"/>
        </w:rPr>
      </w:pPr>
      <w:r>
        <w:rPr>
          <w:rFonts w:ascii="Arial" w:hAnsi="Arial" w:cs="Arial"/>
          <w:sz w:val="20"/>
          <w:szCs w:val="20"/>
          <w:highlight w:val="white"/>
        </w:rPr>
        <w:t xml:space="preserve">Заказчик вправе удержать сумму возмещения потерь из причитающихся платежей Исполнителю по Договору, а также из иных расчетов по любым сделкам с Исполнителем (в том числе произвести зачет встречных однородных требований).</w:t>
      </w:r>
      <w:r>
        <w:rPr>
          <w:rFonts w:ascii="Arial" w:hAnsi="Arial" w:cs="Arial"/>
          <w:sz w:val="20"/>
          <w:szCs w:val="20"/>
          <w:highlight w:val="white"/>
        </w:rPr>
      </w:r>
      <w:r>
        <w:rPr>
          <w:rFonts w:ascii="Arial" w:hAnsi="Arial" w:cs="Arial"/>
          <w:sz w:val="20"/>
          <w:szCs w:val="20"/>
          <w:highlight w:val="white"/>
        </w:rPr>
      </w:r>
    </w:p>
    <w:p>
      <w:pPr>
        <w:tabs>
          <w:tab w:val="left" w:pos="426" w:leader="none"/>
          <w:tab w:val="left" w:pos="567" w:leader="none"/>
        </w:tabs>
        <w:jc w:val="both"/>
        <w:rPr>
          <w:rFonts w:ascii="Arial" w:hAnsi="Arial" w:cs="Arial"/>
          <w:sz w:val="20"/>
          <w:szCs w:val="20"/>
          <w:highlight w:val="white"/>
        </w:rPr>
      </w:pPr>
      <w:r>
        <w:rPr>
          <w:rFonts w:ascii="Arial" w:hAnsi="Arial" w:cs="Arial"/>
          <w:sz w:val="20"/>
          <w:szCs w:val="20"/>
          <w:highlight w:val="white"/>
        </w:rPr>
        <w:t xml:space="preserve">10.4.</w:t>
      </w:r>
      <w:r>
        <w:rPr>
          <w:rFonts w:ascii="Arial" w:hAnsi="Arial" w:cs="Arial"/>
          <w:sz w:val="20"/>
          <w:szCs w:val="20"/>
          <w:highlight w:val="white"/>
        </w:rPr>
        <w:tab/>
        <w:t xml:space="preserve">Стороны согласовали следующую процедуру взаимодействия сторон по минимизации имущественных потерь:</w:t>
      </w:r>
      <w:r>
        <w:rPr>
          <w:rFonts w:ascii="Arial" w:hAnsi="Arial" w:cs="Arial"/>
          <w:sz w:val="20"/>
          <w:szCs w:val="20"/>
          <w:highlight w:val="white"/>
        </w:rPr>
      </w:r>
      <w:r>
        <w:rPr>
          <w:rFonts w:ascii="Arial" w:hAnsi="Arial" w:cs="Arial"/>
          <w:sz w:val="20"/>
          <w:szCs w:val="20"/>
          <w:highlight w:val="white"/>
        </w:rPr>
      </w:r>
    </w:p>
    <w:p>
      <w:pPr>
        <w:tabs>
          <w:tab w:val="left" w:pos="426" w:leader="none"/>
        </w:tabs>
        <w:jc w:val="both"/>
        <w:rPr>
          <w:rFonts w:ascii="Arial" w:hAnsi="Arial" w:cs="Arial"/>
          <w:sz w:val="20"/>
          <w:szCs w:val="20"/>
          <w:highlight w:val="white"/>
        </w:rPr>
      </w:pPr>
      <w:r>
        <w:rPr>
          <w:rFonts w:ascii="Arial" w:hAnsi="Arial" w:cs="Arial"/>
          <w:sz w:val="20"/>
          <w:szCs w:val="20"/>
          <w:highlight w:val="white"/>
        </w:rPr>
        <w:t xml:space="preserve">10.4.1.</w:t>
      </w:r>
      <w:r>
        <w:rPr>
          <w:rFonts w:ascii="Arial" w:hAnsi="Arial" w:cs="Arial"/>
          <w:sz w:val="20"/>
          <w:szCs w:val="20"/>
          <w:highlight w:val="white"/>
        </w:rPr>
        <w:tab/>
        <w:t xml:space="preserve">При получении в порядке статьи 100, 105.17 Налогового кодекса Росс</w:t>
      </w:r>
      <w:r>
        <w:rPr>
          <w:rFonts w:ascii="Arial" w:hAnsi="Arial" w:cs="Arial"/>
          <w:sz w:val="20"/>
          <w:szCs w:val="20"/>
          <w:highlight w:val="white"/>
        </w:rPr>
        <w:t xml:space="preserve">ийской Федерации акта налоговой проверки (далее – «Акт налоговой проверки») </w:t>
      </w:r>
      <w:r>
        <w:rPr>
          <w:rFonts w:ascii="Arial" w:hAnsi="Arial" w:cs="Arial"/>
          <w:sz w:val="20"/>
          <w:szCs w:val="20"/>
          <w:highlight w:val="white"/>
        </w:rPr>
        <w:t xml:space="preserve">или - в порядке, установленном статьей 105.29 Налогового кодекса Российской Федерации, - уведомления о наличии оснований для составления мотивированного мнения (далее – «Уведомлени</w:t>
      </w:r>
      <w:r>
        <w:rPr>
          <w:rFonts w:ascii="Arial" w:hAnsi="Arial" w:cs="Arial"/>
          <w:sz w:val="20"/>
          <w:szCs w:val="20"/>
          <w:highlight w:val="white"/>
        </w:rPr>
        <w:t xml:space="preserve">е»)</w:t>
      </w:r>
      <w:r>
        <w:rPr>
          <w:rFonts w:ascii="Arial" w:hAnsi="Arial" w:cs="Arial"/>
          <w:sz w:val="20"/>
          <w:szCs w:val="20"/>
          <w:highlight w:val="white"/>
        </w:rPr>
        <w:t xml:space="preserve">, в котором проверяющими отражены выявленные нарушения законодательства о налогах и сборах, вызванные действиями или бездействием Исполнителя при исчислении и уплате налогов, а также привлеченных Исполнителем в целях исполнения обязательств по Договору </w:t>
      </w:r>
      <w:r>
        <w:rPr>
          <w:rFonts w:ascii="Arial" w:hAnsi="Arial" w:cs="Arial"/>
          <w:sz w:val="20"/>
          <w:szCs w:val="20"/>
          <w:highlight w:val="white"/>
        </w:rPr>
        <w:t xml:space="preserve">субисполнителей</w:t>
      </w:r>
      <w:r>
        <w:rPr>
          <w:rFonts w:ascii="Arial" w:hAnsi="Arial" w:cs="Arial"/>
          <w:sz w:val="20"/>
          <w:szCs w:val="20"/>
          <w:highlight w:val="white"/>
        </w:rPr>
        <w:t xml:space="preserve"> (например, субподрядчиков, </w:t>
      </w:r>
      <w:r>
        <w:rPr>
          <w:rFonts w:ascii="Arial" w:hAnsi="Arial" w:cs="Arial"/>
          <w:sz w:val="20"/>
          <w:szCs w:val="20"/>
          <w:highlight w:val="white"/>
        </w:rPr>
        <w:t xml:space="preserve">субисполнителей</w:t>
      </w:r>
      <w:r>
        <w:rPr>
          <w:rFonts w:ascii="Arial" w:hAnsi="Arial" w:cs="Arial"/>
          <w:sz w:val="20"/>
          <w:szCs w:val="20"/>
          <w:highlight w:val="white"/>
        </w:rPr>
        <w:t xml:space="preserve">, субпоставщиков), Заказчик в течение 10 (десяти) календарных дней с момента получения акта налоговой проверки и в течение 5 (пяти) календарных дней </w:t>
      </w:r>
      <w:r>
        <w:rPr>
          <w:rFonts w:ascii="Arial" w:hAnsi="Arial" w:cs="Arial"/>
          <w:sz w:val="20"/>
          <w:szCs w:val="20"/>
          <w:highlight w:val="white"/>
        </w:rPr>
        <w:t xml:space="preserve">с момента получения Уведомления направляет в адрес Исполнителя выписку из акта налогового органа или Уведомления по соответствующему эпизоду (далее – «Выписка»)</w:t>
      </w:r>
      <w:r>
        <w:rPr>
          <w:rFonts w:ascii="Arial" w:hAnsi="Arial" w:cs="Arial"/>
          <w:sz w:val="20"/>
          <w:szCs w:val="20"/>
          <w:highlight w:val="white"/>
        </w:rPr>
      </w:r>
      <w:r>
        <w:rPr>
          <w:rFonts w:ascii="Arial" w:hAnsi="Arial" w:cs="Arial"/>
          <w:sz w:val="20"/>
          <w:szCs w:val="20"/>
          <w:highlight w:val="white"/>
        </w:rPr>
      </w:r>
    </w:p>
    <w:p>
      <w:pPr>
        <w:tabs>
          <w:tab w:val="left" w:pos="426" w:leader="none"/>
        </w:tabs>
        <w:jc w:val="both"/>
        <w:rPr>
          <w:rFonts w:ascii="Arial" w:hAnsi="Arial" w:cs="Arial"/>
          <w:sz w:val="20"/>
          <w:szCs w:val="20"/>
          <w:highlight w:val="white"/>
        </w:rPr>
      </w:pPr>
      <w:r>
        <w:rPr>
          <w:rFonts w:ascii="Arial" w:hAnsi="Arial" w:cs="Arial"/>
          <w:sz w:val="20"/>
          <w:szCs w:val="20"/>
          <w:highlight w:val="white"/>
        </w:rPr>
        <w:t xml:space="preserve">10.4.2.</w:t>
      </w:r>
      <w:r>
        <w:rPr>
          <w:rFonts w:ascii="Arial" w:hAnsi="Arial" w:cs="Arial"/>
          <w:sz w:val="20"/>
          <w:szCs w:val="20"/>
          <w:highlight w:val="white"/>
        </w:rPr>
        <w:tab/>
        <w:t xml:space="preserve">В случае несогласия с фактами, изложенными в Выписке, а также с выводами и предло</w:t>
      </w:r>
      <w:r>
        <w:rPr>
          <w:rFonts w:ascii="Arial" w:hAnsi="Arial" w:cs="Arial"/>
          <w:sz w:val="20"/>
          <w:szCs w:val="20"/>
          <w:highlight w:val="white"/>
        </w:rPr>
        <w:t xml:space="preserve">жениями проверяющих, Исполнитель в течение 10 (десяти) календарных дней с момента получения Выписки из акта налогового органа направляет в адрес Заказчика письменные мотивированные возражения по фактам (выводам проверяющих), содержащимся в ней, а также име</w:t>
      </w:r>
      <w:r>
        <w:rPr>
          <w:rFonts w:ascii="Arial" w:hAnsi="Arial" w:cs="Arial"/>
          <w:sz w:val="20"/>
          <w:szCs w:val="20"/>
          <w:highlight w:val="white"/>
        </w:rPr>
        <w:t xml:space="preserve">ющиеся документы/информацию, подтверждающие необоснованность претензий налогового органа, указанных в Выписке, которые Заказчик обязано учесть при представлении Возражений в налоговый орган в порядке предусмотренным Налоговым Кодексом Российской Федерации.</w:t>
      </w:r>
      <w:r>
        <w:rPr>
          <w:rFonts w:ascii="Arial" w:hAnsi="Arial" w:cs="Arial"/>
          <w:sz w:val="20"/>
          <w:szCs w:val="20"/>
          <w:highlight w:val="white"/>
        </w:rPr>
      </w:r>
      <w:r>
        <w:rPr>
          <w:rFonts w:ascii="Arial" w:hAnsi="Arial" w:cs="Arial"/>
          <w:sz w:val="20"/>
          <w:szCs w:val="20"/>
          <w:highlight w:val="white"/>
        </w:rPr>
      </w:r>
    </w:p>
    <w:p>
      <w:pPr>
        <w:tabs>
          <w:tab w:val="left" w:pos="426" w:leader="none"/>
        </w:tabs>
        <w:jc w:val="both"/>
        <w:rPr>
          <w:rFonts w:ascii="Arial" w:hAnsi="Arial" w:cs="Arial"/>
          <w:sz w:val="20"/>
          <w:szCs w:val="20"/>
          <w:highlight w:val="white"/>
        </w:rPr>
      </w:pPr>
      <w:r>
        <w:rPr>
          <w:rFonts w:ascii="Arial" w:hAnsi="Arial" w:cs="Arial"/>
          <w:sz w:val="20"/>
          <w:szCs w:val="20"/>
          <w:highlight w:val="white"/>
        </w:rPr>
        <w:t xml:space="preserve">В случае непредставления Исполнителем в указанный выше срок письменных мотивированных возражений по фактам (выводам проверяющих), содержащимся в Выписке, считается, что у Исполнителя отсутствуют возражения против выводов проверяющих, изложенных в Выписке.</w:t>
      </w:r>
      <w:r>
        <w:rPr>
          <w:rFonts w:ascii="Arial" w:hAnsi="Arial" w:cs="Arial"/>
          <w:sz w:val="20"/>
          <w:szCs w:val="20"/>
          <w:highlight w:val="white"/>
        </w:rPr>
      </w:r>
      <w:r>
        <w:rPr>
          <w:rFonts w:ascii="Arial" w:hAnsi="Arial" w:cs="Arial"/>
          <w:sz w:val="20"/>
          <w:szCs w:val="20"/>
          <w:highlight w:val="white"/>
        </w:rPr>
      </w:r>
    </w:p>
    <w:p>
      <w:pPr>
        <w:tabs>
          <w:tab w:val="left" w:pos="426" w:leader="none"/>
        </w:tabs>
        <w:jc w:val="both"/>
        <w:rPr>
          <w:rFonts w:ascii="Arial" w:hAnsi="Arial" w:cs="Arial"/>
          <w:sz w:val="20"/>
          <w:szCs w:val="20"/>
          <w:highlight w:val="none"/>
        </w:rPr>
      </w:pPr>
      <w:r>
        <w:rPr>
          <w:rFonts w:ascii="Arial" w:hAnsi="Arial" w:cs="Arial"/>
          <w:sz w:val="20"/>
          <w:szCs w:val="20"/>
          <w:highlight w:val="white"/>
        </w:rPr>
        <w:t xml:space="preserve">10.5.</w:t>
      </w:r>
      <w:r>
        <w:rPr>
          <w:rFonts w:ascii="Arial" w:hAnsi="Arial" w:cs="Arial"/>
          <w:sz w:val="20"/>
          <w:szCs w:val="20"/>
          <w:highlight w:val="white"/>
        </w:rPr>
        <w:tab/>
        <w:t xml:space="preserve">Заказчик вправе потребовать с Исполнителя возмещения имущественных потерь, связанных с наступлением обстоятельств, указанных в п. 10.1 Договора, в течение срока действия Договора и в течение трех лет после окончания срока действия Договора</w:t>
      </w:r>
      <w:r>
        <w:rPr>
          <w:rFonts w:ascii="Arial" w:hAnsi="Arial" w:cs="Arial"/>
          <w:sz w:val="20"/>
          <w:szCs w:val="20"/>
          <w:highlight w:val="none"/>
        </w:rPr>
      </w:r>
      <w:r>
        <w:rPr>
          <w:rFonts w:ascii="Arial" w:hAnsi="Arial" w:cs="Arial"/>
          <w:sz w:val="20"/>
          <w:szCs w:val="20"/>
          <w:highlight w:val="none"/>
        </w:rPr>
      </w:r>
    </w:p>
    <w:p>
      <w:pPr>
        <w:tabs>
          <w:tab w:val="left" w:pos="426" w:leader="none"/>
        </w:tabs>
        <w:jc w:val="both"/>
        <w:rPr>
          <w:rFonts w:ascii="Arial" w:hAnsi="Arial" w:cs="Arial"/>
          <w:sz w:val="20"/>
          <w:szCs w:val="20"/>
          <w:highlight w:val="white"/>
          <w14:ligatures w14:val="none"/>
        </w:rPr>
      </w:pPr>
      <w:r>
        <w:rPr>
          <w:rFonts w:ascii="Arial" w:hAnsi="Arial" w:cs="Arial"/>
          <w:sz w:val="20"/>
          <w:szCs w:val="20"/>
          <w:highlight w:val="white"/>
        </w:rPr>
      </w:r>
      <w:r>
        <w:rPr>
          <w:rFonts w:ascii="Arial" w:hAnsi="Arial" w:cs="Arial"/>
          <w:sz w:val="20"/>
          <w:szCs w:val="20"/>
          <w:highlight w:val="white"/>
          <w14:ligatures w14:val="none"/>
        </w:rPr>
      </w:r>
      <w:r>
        <w:rPr>
          <w:rFonts w:ascii="Arial" w:hAnsi="Arial" w:cs="Arial"/>
          <w:sz w:val="20"/>
          <w:szCs w:val="20"/>
          <w:highlight w:val="white"/>
          <w14:ligatures w14:val="none"/>
        </w:rPr>
      </w:r>
    </w:p>
    <w:p>
      <w:pPr>
        <w:tabs>
          <w:tab w:val="left" w:pos="426" w:leader="none"/>
        </w:tabs>
        <w:jc w:val="center"/>
        <w:rPr>
          <w:rFonts w:ascii="Arial" w:hAnsi="Arial" w:cs="Arial"/>
          <w:sz w:val="18"/>
          <w:szCs w:val="18"/>
          <w:highlight w:val="white"/>
          <w14:ligatures w14:val="none"/>
        </w:rPr>
      </w:pPr>
      <w:r>
        <w:rPr>
          <w:rFonts w:ascii="Arial" w:hAnsi="Arial" w:cs="Arial"/>
          <w:sz w:val="20"/>
          <w:szCs w:val="20"/>
          <w:highlight w:val="white"/>
        </w:rPr>
        <w:t xml:space="preserve">11. ПРИЛОЖЕНИЯ К ДОГОВОРУ</w:t>
      </w:r>
      <w:r>
        <w:rPr>
          <w:rFonts w:ascii="Arial" w:hAnsi="Arial" w:cs="Arial"/>
          <w:sz w:val="18"/>
          <w:szCs w:val="18"/>
          <w:highlight w:val="white"/>
          <w14:ligatures w14:val="none"/>
        </w:rPr>
      </w:r>
      <w:r>
        <w:rPr>
          <w:rFonts w:ascii="Arial" w:hAnsi="Arial" w:cs="Arial"/>
          <w:sz w:val="18"/>
          <w:szCs w:val="18"/>
          <w:highlight w:val="white"/>
          <w14:ligatures w14:val="none"/>
        </w:rPr>
      </w:r>
    </w:p>
    <w:p>
      <w:pPr>
        <w:tabs>
          <w:tab w:val="left" w:pos="426" w:leader="none"/>
        </w:tabs>
        <w:jc w:val="both"/>
        <w:rPr>
          <w:rFonts w:ascii="Arial" w:hAnsi="Arial" w:cs="Arial"/>
          <w:sz w:val="18"/>
          <w:szCs w:val="18"/>
          <w:highlight w:val="white"/>
          <w14:ligatures w14:val="none"/>
        </w:rPr>
      </w:pPr>
      <w:r>
        <w:rPr>
          <w:rFonts w:ascii="Arial" w:hAnsi="Arial" w:cs="Arial"/>
          <w:sz w:val="20"/>
          <w:szCs w:val="20"/>
          <w:highlight w:val="white"/>
        </w:rPr>
        <w:t xml:space="preserve"> Приложение №1: Спецификация №1.</w:t>
      </w:r>
      <w:r>
        <w:rPr>
          <w:rFonts w:ascii="Arial" w:hAnsi="Arial" w:cs="Arial"/>
          <w:sz w:val="18"/>
          <w:szCs w:val="18"/>
          <w:highlight w:val="white"/>
          <w14:ligatures w14:val="none"/>
        </w:rPr>
      </w:r>
      <w:r>
        <w:rPr>
          <w:rFonts w:ascii="Arial" w:hAnsi="Arial" w:cs="Arial"/>
          <w:sz w:val="18"/>
          <w:szCs w:val="18"/>
          <w:highlight w:val="white"/>
          <w14:ligatures w14:val="none"/>
        </w:rPr>
      </w:r>
    </w:p>
    <w:p>
      <w:pPr>
        <w:tabs>
          <w:tab w:val="left" w:pos="426" w:leader="none"/>
        </w:tabs>
        <w:jc w:val="both"/>
        <w:rPr>
          <w:rFonts w:ascii="Arial" w:hAnsi="Arial" w:cs="Arial"/>
          <w:sz w:val="20"/>
          <w:szCs w:val="20"/>
          <w:highlight w:val="white"/>
        </w:rPr>
      </w:pPr>
      <w:r>
        <w:rPr>
          <w:rFonts w:ascii="Arial" w:hAnsi="Arial" w:cs="Arial"/>
          <w:sz w:val="20"/>
          <w:szCs w:val="20"/>
          <w:highlight w:val="none"/>
        </w:rPr>
      </w:r>
      <w:r>
        <w:rPr>
          <w:rFonts w:ascii="Arial" w:hAnsi="Arial" w:cs="Arial"/>
          <w:sz w:val="20"/>
          <w:szCs w:val="20"/>
          <w:highlight w:val="white"/>
        </w:rPr>
      </w:r>
      <w:r>
        <w:rPr>
          <w:rFonts w:ascii="Arial" w:hAnsi="Arial" w:cs="Arial"/>
          <w:sz w:val="20"/>
          <w:szCs w:val="20"/>
          <w:highlight w:val="white"/>
        </w:rPr>
      </w:r>
    </w:p>
    <w:p>
      <w:pPr>
        <w:ind w:left="0" w:firstLine="0"/>
        <w:jc w:val="center"/>
        <w:rPr>
          <w:rFonts w:ascii="Arial" w:hAnsi="Arial" w:cs="Arial"/>
          <w:sz w:val="20"/>
          <w:szCs w:val="20"/>
          <w:highlight w:val="none"/>
        </w:rPr>
      </w:pPr>
      <w:r>
        <w:rPr>
          <w:rFonts w:ascii="Arial" w:hAnsi="Arial" w:cs="Arial"/>
          <w:bCs/>
          <w:sz w:val="20"/>
          <w:szCs w:val="20"/>
          <w:highlight w:val="white"/>
        </w:rPr>
        <w:t xml:space="preserve">12. </w:t>
      </w:r>
      <w:r>
        <w:rPr>
          <w:rFonts w:ascii="Arial" w:hAnsi="Arial" w:cs="Arial"/>
          <w:bCs/>
          <w:sz w:val="20"/>
          <w:szCs w:val="20"/>
          <w:highlight w:val="white"/>
        </w:rPr>
        <w:t xml:space="preserve">ЮРИДИЧЕСКИЕ АДРЕСА, РЕКВИЗИТЫ </w:t>
      </w:r>
      <w:r>
        <w:rPr>
          <w:rFonts w:ascii="Arial" w:hAnsi="Arial" w:cs="Arial"/>
          <w:bCs/>
          <w:sz w:val="20"/>
          <w:szCs w:val="20"/>
          <w:highlight w:val="white"/>
        </w:rPr>
        <w:t xml:space="preserve">И ПОДПИСИ СТОРОН</w:t>
      </w:r>
      <w:r>
        <w:rPr>
          <w:rFonts w:ascii="Arial" w:hAnsi="Arial" w:cs="Arial"/>
          <w:sz w:val="20"/>
          <w:szCs w:val="20"/>
          <w:highlight w:val="white"/>
        </w:rPr>
        <w:t xml:space="preserve"> </w:t>
      </w:r>
      <w:r>
        <w:rPr>
          <w:rFonts w:ascii="Arial" w:hAnsi="Arial" w:cs="Arial"/>
          <w:sz w:val="20"/>
          <w:szCs w:val="20"/>
          <w:highlight w:val="none"/>
        </w:rPr>
      </w:r>
      <w:r>
        <w:rPr>
          <w:rFonts w:ascii="Arial" w:hAnsi="Arial" w:cs="Arial"/>
          <w:sz w:val="20"/>
          <w:szCs w:val="20"/>
          <w:highlight w:val="none"/>
        </w:rPr>
      </w:r>
    </w:p>
    <w:p>
      <w:pPr>
        <w:ind w:left="0" w:firstLine="0"/>
        <w:jc w:val="center"/>
        <w:rPr>
          <w:rFonts w:ascii="Arial" w:hAnsi="Arial" w:cs="Arial"/>
          <w:sz w:val="20"/>
          <w:szCs w:val="20"/>
          <w:highlight w:val="white"/>
        </w:rPr>
      </w:pPr>
      <w:r>
        <w:rPr>
          <w:rFonts w:ascii="Arial" w:hAnsi="Arial" w:cs="Arial"/>
          <w:sz w:val="20"/>
          <w:szCs w:val="20"/>
          <w:highlight w:val="none"/>
        </w:rPr>
      </w:r>
      <w:r>
        <w:rPr>
          <w:rFonts w:ascii="Arial" w:hAnsi="Arial" w:cs="Arial"/>
          <w:sz w:val="20"/>
          <w:szCs w:val="20"/>
          <w:highlight w:val="white"/>
        </w:rPr>
      </w:r>
      <w:r>
        <w:rPr>
          <w:rFonts w:ascii="Arial" w:hAnsi="Arial" w:cs="Arial"/>
          <w:sz w:val="20"/>
          <w:szCs w:val="20"/>
          <w:highlight w:val="white"/>
        </w:rPr>
      </w:r>
    </w:p>
    <w:tbl>
      <w:tblPr>
        <w:tblW w:w="10467" w:type="dxa"/>
        <w:tblLayout w:type="fixed"/>
        <w:tblLook w:val="0000" w:firstRow="0" w:lastRow="0" w:firstColumn="0" w:lastColumn="0" w:noHBand="0" w:noVBand="0"/>
      </w:tblPr>
      <w:tblGrid>
        <w:gridCol w:w="489"/>
        <w:gridCol w:w="4191"/>
        <w:gridCol w:w="489"/>
        <w:gridCol w:w="489"/>
        <w:gridCol w:w="4810"/>
      </w:tblGrid>
      <w:tr>
        <w:trPr>
          <w:trHeight w:val="473"/>
        </w:trPr>
        <w:tblPrEx/>
        <w:tc>
          <w:tcPr>
            <w:tcW w:w="4680" w:type="dxa"/>
            <w:gridSpan w:val="2"/>
            <w:noWrap w:val="false"/>
            <w:textDirection w:val="lrTb"/>
          </w:tcPr>
          <w:p>
            <w:pPr>
              <w:keepNext/>
              <w:jc w:val="center"/>
              <w:outlineLvl w:val="2"/>
              <w:rPr>
                <w:rFonts w:ascii="Arial" w:hAnsi="Arial" w:cs="Arial"/>
                <w:sz w:val="20"/>
                <w:szCs w:val="20"/>
                <w:highlight w:val="white"/>
              </w:rPr>
            </w:pPr>
            <w:r>
              <w:rPr>
                <w:rFonts w:ascii="Arial" w:hAnsi="Arial" w:cs="Arial"/>
                <w:sz w:val="20"/>
                <w:szCs w:val="20"/>
                <w:highlight w:val="white"/>
              </w:rPr>
              <w:t xml:space="preserve">ЗАКАЗЧИК</w:t>
            </w:r>
            <w:r>
              <w:rPr>
                <w:rFonts w:ascii="Arial" w:hAnsi="Arial" w:cs="Arial"/>
                <w:sz w:val="20"/>
                <w:szCs w:val="20"/>
                <w:highlight w:val="white"/>
              </w:rPr>
            </w:r>
            <w:r>
              <w:rPr>
                <w:rFonts w:ascii="Arial" w:hAnsi="Arial" w:cs="Arial"/>
                <w:sz w:val="20"/>
                <w:szCs w:val="20"/>
                <w:highlight w:val="white"/>
              </w:rPr>
            </w:r>
          </w:p>
          <w:p>
            <w:pPr>
              <w:keepNext/>
              <w:jc w:val="center"/>
              <w:outlineLvl w:val="2"/>
              <w:rPr>
                <w:rFonts w:ascii="Arial" w:hAnsi="Arial" w:cs="Arial"/>
                <w:sz w:val="20"/>
                <w:szCs w:val="20"/>
                <w:highlight w:val="white"/>
              </w:rPr>
            </w:pPr>
            <w:r>
              <w:rPr>
                <w:rFonts w:ascii="Arial" w:hAnsi="Arial" w:cs="Arial"/>
                <w:sz w:val="20"/>
                <w:szCs w:val="20"/>
                <w:highlight w:val="white"/>
              </w:rPr>
              <w:t xml:space="preserve">ООО «Интер РАО - Инжиниринг»</w:t>
            </w:r>
            <w:r>
              <w:rPr>
                <w:rFonts w:ascii="Arial" w:hAnsi="Arial" w:cs="Arial"/>
                <w:sz w:val="20"/>
                <w:szCs w:val="20"/>
                <w:highlight w:val="white"/>
              </w:rPr>
            </w:r>
            <w:r>
              <w:rPr>
                <w:rFonts w:ascii="Arial" w:hAnsi="Arial" w:cs="Arial"/>
                <w:sz w:val="20"/>
                <w:szCs w:val="20"/>
                <w:highlight w:val="white"/>
              </w:rPr>
            </w:r>
          </w:p>
        </w:tc>
        <w:tc>
          <w:tcPr>
            <w:tcW w:w="489" w:type="dxa"/>
            <w:noWrap w:val="false"/>
            <w:textDirection w:val="lrTb"/>
          </w:tcPr>
          <w:p>
            <w:pPr>
              <w:jc w:val="center"/>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tc>
        <w:tc>
          <w:tcPr>
            <w:tcW w:w="489" w:type="dxa"/>
            <w:noWrap w:val="false"/>
            <w:textDirection w:val="lrTb"/>
          </w:tcPr>
          <w:p>
            <w:pPr>
              <w:jc w:val="center"/>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tc>
        <w:tc>
          <w:tcPr>
            <w:tcW w:w="4810" w:type="dxa"/>
            <w:noWrap w:val="false"/>
            <w:textDirection w:val="lrTb"/>
          </w:tcPr>
          <w:p>
            <w:pPr>
              <w:keepNext/>
              <w:jc w:val="center"/>
              <w:outlineLvl w:val="2"/>
              <w:rPr>
                <w:rFonts w:ascii="Arial" w:hAnsi="Arial" w:cs="Arial"/>
                <w:sz w:val="20"/>
                <w:szCs w:val="20"/>
                <w:highlight w:val="white"/>
              </w:rPr>
            </w:pPr>
            <w:r>
              <w:rPr>
                <w:rFonts w:ascii="Arial" w:hAnsi="Arial" w:cs="Arial"/>
                <w:sz w:val="20"/>
                <w:szCs w:val="20"/>
                <w:highlight w:val="white"/>
              </w:rPr>
              <w:t xml:space="preserve">ИСПОЛНИТЕЛЬ </w:t>
            </w:r>
            <w:r>
              <w:rPr>
                <w:rFonts w:ascii="Arial" w:hAnsi="Arial" w:cs="Arial"/>
                <w:sz w:val="20"/>
                <w:szCs w:val="20"/>
                <w:highlight w:val="white"/>
              </w:rPr>
            </w:r>
            <w:r>
              <w:rPr>
                <w:rFonts w:ascii="Arial" w:hAnsi="Arial" w:cs="Arial"/>
                <w:sz w:val="20"/>
                <w:szCs w:val="20"/>
                <w:highlight w:val="white"/>
              </w:rPr>
            </w:r>
          </w:p>
          <w:p>
            <w:pPr>
              <w:keepNext/>
              <w:jc w:val="center"/>
              <w:outlineLvl w:val="2"/>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tc>
      </w:tr>
      <w:tr>
        <w:trPr>
          <w:cantSplit/>
          <w:trHeight w:val="227"/>
        </w:trPr>
        <w:tblPrEx/>
        <w:tc>
          <w:tcPr>
            <w:tcW w:w="4680" w:type="dxa"/>
            <w:gridSpan w:val="2"/>
            <w:noWrap w:val="false"/>
            <w:textDirection w:val="lrTb"/>
          </w:tcPr>
          <w:p>
            <w:pPr>
              <w:jc w:val="center"/>
              <w:rPr>
                <w:rFonts w:ascii="Arial" w:hAnsi="Arial" w:cs="Arial"/>
                <w:sz w:val="20"/>
                <w:szCs w:val="20"/>
                <w:highlight w:val="white"/>
              </w:rPr>
            </w:pPr>
            <w:r>
              <w:rPr>
                <w:rFonts w:ascii="Arial" w:hAnsi="Arial" w:cs="Arial"/>
                <w:bCs/>
                <w:sz w:val="20"/>
                <w:szCs w:val="20"/>
                <w:highlight w:val="white"/>
              </w:rPr>
              <w:t xml:space="preserve">ОГРН 1095074008545</w:t>
            </w:r>
            <w:r>
              <w:rPr>
                <w:rFonts w:ascii="Arial" w:hAnsi="Arial" w:cs="Arial"/>
                <w:sz w:val="20"/>
                <w:szCs w:val="20"/>
                <w:highlight w:val="white"/>
              </w:rPr>
            </w:r>
            <w:r>
              <w:rPr>
                <w:rFonts w:ascii="Arial" w:hAnsi="Arial" w:cs="Arial"/>
                <w:sz w:val="20"/>
                <w:szCs w:val="20"/>
                <w:highlight w:val="white"/>
              </w:rPr>
            </w:r>
          </w:p>
        </w:tc>
        <w:tc>
          <w:tcPr>
            <w:tcW w:w="489" w:type="dxa"/>
            <w:noWrap w:val="false"/>
            <w:textDirection w:val="lrTb"/>
          </w:tcPr>
          <w:p>
            <w:pPr>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tc>
        <w:tc>
          <w:tcPr>
            <w:tcW w:w="489" w:type="dxa"/>
            <w:noWrap w:val="false"/>
            <w:textDirection w:val="lrTb"/>
          </w:tcPr>
          <w:p>
            <w:pPr>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tc>
        <w:tc>
          <w:tcPr>
            <w:tcW w:w="4810" w:type="dxa"/>
            <w:noWrap w:val="false"/>
            <w:textDirection w:val="lrTb"/>
          </w:tcPr>
          <w:p>
            <w:pPr>
              <w:jc w:val="center"/>
              <w:rPr>
                <w:rFonts w:ascii="Arial" w:hAnsi="Arial" w:cs="Arial"/>
                <w:bCs/>
                <w:sz w:val="20"/>
                <w:szCs w:val="20"/>
                <w:highlight w:val="white"/>
              </w:rPr>
            </w:pPr>
            <w:r>
              <w:rPr>
                <w:rFonts w:ascii="Arial" w:hAnsi="Arial" w:cs="Arial"/>
                <w:bCs/>
                <w:sz w:val="20"/>
                <w:szCs w:val="20"/>
                <w:highlight w:val="white"/>
              </w:rPr>
              <w:t xml:space="preserve">ОГРН </w:t>
            </w:r>
            <w:r>
              <w:rPr>
                <w:rFonts w:ascii="Arial" w:hAnsi="Arial" w:cs="Arial"/>
                <w:bCs/>
                <w:sz w:val="20"/>
                <w:szCs w:val="20"/>
                <w:highlight w:val="white"/>
              </w:rPr>
            </w:r>
            <w:r>
              <w:rPr>
                <w:rFonts w:ascii="Arial" w:hAnsi="Arial" w:cs="Arial"/>
                <w:bCs/>
                <w:sz w:val="20"/>
                <w:szCs w:val="20"/>
                <w:highlight w:val="white"/>
              </w:rPr>
            </w:r>
          </w:p>
        </w:tc>
      </w:tr>
      <w:tr>
        <w:trPr>
          <w:trHeight w:val="227"/>
        </w:trPr>
        <w:tblPrEx/>
        <w:tc>
          <w:tcPr>
            <w:tcW w:w="4680" w:type="dxa"/>
            <w:gridSpan w:val="2"/>
            <w:noWrap w:val="false"/>
            <w:textDirection w:val="lrTb"/>
          </w:tcPr>
          <w:p>
            <w:pPr>
              <w:jc w:val="center"/>
              <w:rPr>
                <w:rFonts w:ascii="Arial" w:hAnsi="Arial" w:cs="Arial"/>
                <w:sz w:val="20"/>
                <w:szCs w:val="20"/>
                <w:highlight w:val="white"/>
              </w:rPr>
            </w:pPr>
            <w:r>
              <w:rPr>
                <w:rFonts w:ascii="Arial" w:hAnsi="Arial" w:cs="Arial"/>
                <w:sz w:val="20"/>
                <w:szCs w:val="20"/>
                <w:highlight w:val="white"/>
              </w:rPr>
              <w:t xml:space="preserve">ИНН 5036101347</w:t>
            </w:r>
            <w:r>
              <w:rPr>
                <w:rFonts w:ascii="Arial" w:hAnsi="Arial" w:cs="Arial"/>
                <w:sz w:val="20"/>
                <w:szCs w:val="20"/>
                <w:highlight w:val="white"/>
              </w:rPr>
              <w:t xml:space="preserve"> / КПП </w:t>
            </w:r>
            <w:r>
              <w:rPr>
                <w:rFonts w:ascii="Arial" w:hAnsi="Arial" w:cs="Arial"/>
                <w:sz w:val="20"/>
                <w:szCs w:val="20"/>
                <w:highlight w:val="white"/>
              </w:rPr>
              <w:t xml:space="preserve">770401001</w:t>
            </w:r>
            <w:r>
              <w:rPr>
                <w:rFonts w:ascii="Arial" w:hAnsi="Arial" w:cs="Arial"/>
                <w:sz w:val="20"/>
                <w:szCs w:val="20"/>
                <w:highlight w:val="white"/>
              </w:rPr>
            </w:r>
            <w:r>
              <w:rPr>
                <w:rFonts w:ascii="Arial" w:hAnsi="Arial" w:cs="Arial"/>
                <w:sz w:val="20"/>
                <w:szCs w:val="20"/>
                <w:highlight w:val="white"/>
              </w:rPr>
            </w:r>
          </w:p>
        </w:tc>
        <w:tc>
          <w:tcPr>
            <w:tcW w:w="489" w:type="dxa"/>
            <w:tcBorders>
              <w:right w:val="none" w:color="000000" w:sz="4" w:space="0"/>
            </w:tcBorders>
            <w:noWrap w:val="false"/>
            <w:textDirection w:val="lrTb"/>
          </w:tcPr>
          <w:p>
            <w:pPr>
              <w:jc w:val="both"/>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tc>
        <w:tc>
          <w:tcPr>
            <w:tcW w:w="489" w:type="dxa"/>
            <w:tcBorders>
              <w:left w:val="none" w:color="000000" w:sz="4" w:space="0"/>
            </w:tcBorders>
            <w:noWrap w:val="false"/>
            <w:textDirection w:val="lrTb"/>
          </w:tcPr>
          <w:p>
            <w:pPr>
              <w:jc w:val="both"/>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tc>
        <w:tc>
          <w:tcPr>
            <w:tcW w:w="4810" w:type="dxa"/>
            <w:noWrap w:val="false"/>
            <w:textDirection w:val="lrTb"/>
          </w:tcPr>
          <w:p>
            <w:pPr>
              <w:jc w:val="center"/>
              <w:rPr>
                <w:rFonts w:ascii="Arial" w:hAnsi="Arial" w:cs="Arial"/>
                <w:sz w:val="20"/>
                <w:szCs w:val="20"/>
                <w:highlight w:val="white"/>
              </w:rPr>
            </w:pPr>
            <w:r>
              <w:rPr>
                <w:rFonts w:ascii="Arial" w:hAnsi="Arial" w:cs="Arial"/>
                <w:sz w:val="20"/>
                <w:szCs w:val="20"/>
                <w:highlight w:val="white"/>
              </w:rPr>
              <w:t xml:space="preserve">ИНН      </w:t>
            </w:r>
            <w:r>
              <w:rPr>
                <w:rFonts w:ascii="Arial" w:hAnsi="Arial" w:cs="Arial"/>
                <w:bCs/>
                <w:sz w:val="20"/>
                <w:szCs w:val="20"/>
                <w:highlight w:val="white"/>
              </w:rPr>
              <w:t xml:space="preserve">/ КПП </w:t>
            </w:r>
            <w:r>
              <w:rPr>
                <w:rFonts w:ascii="Arial" w:hAnsi="Arial" w:cs="Arial"/>
                <w:sz w:val="20"/>
                <w:szCs w:val="20"/>
                <w:highlight w:val="white"/>
              </w:rPr>
            </w:r>
            <w:r>
              <w:rPr>
                <w:rFonts w:ascii="Arial" w:hAnsi="Arial" w:cs="Arial"/>
                <w:sz w:val="20"/>
                <w:szCs w:val="20"/>
                <w:highlight w:val="white"/>
              </w:rPr>
            </w:r>
          </w:p>
        </w:tc>
      </w:tr>
      <w:tr>
        <w:trPr>
          <w:cantSplit/>
          <w:trHeight w:val="227"/>
        </w:trPr>
        <w:tblPrEx/>
        <w:tc>
          <w:tcPr>
            <w:tcW w:w="489" w:type="dxa"/>
            <w:noWrap w:val="false"/>
            <w:textDirection w:val="lrTb"/>
          </w:tcPr>
          <w:p>
            <w:pPr>
              <w:jc w:val="center"/>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tc>
        <w:tc>
          <w:tcPr>
            <w:tcW w:w="9979" w:type="dxa"/>
            <w:gridSpan w:val="4"/>
            <w:noWrap w:val="false"/>
            <w:textDirection w:val="lrTb"/>
          </w:tcPr>
          <w:p>
            <w:pPr>
              <w:jc w:val="center"/>
              <w:rPr>
                <w:rFonts w:ascii="Arial" w:hAnsi="Arial" w:cs="Arial"/>
                <w:sz w:val="20"/>
                <w:szCs w:val="20"/>
                <w:highlight w:val="white"/>
              </w:rPr>
            </w:pPr>
            <w:r>
              <w:rPr>
                <w:rFonts w:ascii="Arial" w:hAnsi="Arial" w:cs="Arial"/>
                <w:sz w:val="20"/>
                <w:szCs w:val="20"/>
                <w:highlight w:val="white"/>
              </w:rPr>
              <w:t xml:space="preserve">Индекс, юридический адрес:</w:t>
            </w:r>
            <w:r>
              <w:rPr>
                <w:rFonts w:ascii="Arial" w:hAnsi="Arial" w:cs="Arial"/>
                <w:sz w:val="20"/>
                <w:szCs w:val="20"/>
                <w:highlight w:val="white"/>
              </w:rPr>
            </w:r>
            <w:r>
              <w:rPr>
                <w:rFonts w:ascii="Arial" w:hAnsi="Arial" w:cs="Arial"/>
                <w:sz w:val="20"/>
                <w:szCs w:val="20"/>
                <w:highlight w:val="white"/>
              </w:rPr>
            </w:r>
          </w:p>
        </w:tc>
      </w:tr>
      <w:tr>
        <w:trPr>
          <w:trHeight w:val="454"/>
        </w:trPr>
        <w:tblPrEx/>
        <w:tc>
          <w:tcPr>
            <w:tcW w:w="4680" w:type="dxa"/>
            <w:gridSpan w:val="2"/>
            <w:noWrap w:val="false"/>
            <w:textDirection w:val="lrTb"/>
          </w:tcPr>
          <w:p>
            <w:pPr>
              <w:jc w:val="both"/>
              <w:rPr>
                <w:rFonts w:ascii="Arial" w:hAnsi="Arial" w:cs="Arial"/>
                <w:sz w:val="20"/>
                <w:szCs w:val="20"/>
                <w:highlight w:val="white"/>
              </w:rPr>
            </w:pPr>
            <w:r>
              <w:rPr>
                <w:rFonts w:ascii="Arial" w:hAnsi="Arial" w:cs="Arial"/>
                <w:sz w:val="20"/>
                <w:szCs w:val="20"/>
                <w:highlight w:val="white"/>
              </w:rPr>
              <w:t xml:space="preserve">119435, г. Москва, ул. Большая </w:t>
            </w:r>
            <w:r>
              <w:rPr>
                <w:rFonts w:ascii="Arial" w:hAnsi="Arial" w:cs="Arial"/>
                <w:sz w:val="20"/>
                <w:szCs w:val="20"/>
                <w:highlight w:val="white"/>
              </w:rPr>
              <w:t xml:space="preserve">Пироговская</w:t>
            </w:r>
            <w:r>
              <w:rPr>
                <w:rFonts w:ascii="Arial" w:hAnsi="Arial" w:cs="Arial"/>
                <w:sz w:val="20"/>
                <w:szCs w:val="20"/>
                <w:highlight w:val="white"/>
              </w:rPr>
              <w:t xml:space="preserve">, д.27, стр.4</w:t>
            </w:r>
            <w:r>
              <w:rPr>
                <w:rFonts w:ascii="Arial" w:hAnsi="Arial" w:cs="Arial"/>
                <w:sz w:val="20"/>
                <w:szCs w:val="20"/>
                <w:highlight w:val="white"/>
              </w:rPr>
            </w:r>
            <w:r>
              <w:rPr>
                <w:rFonts w:ascii="Arial" w:hAnsi="Arial" w:cs="Arial"/>
                <w:sz w:val="20"/>
                <w:szCs w:val="20"/>
                <w:highlight w:val="white"/>
              </w:rPr>
            </w:r>
          </w:p>
        </w:tc>
        <w:tc>
          <w:tcPr>
            <w:tcW w:w="489" w:type="dxa"/>
            <w:noWrap w:val="false"/>
            <w:textDirection w:val="lrTb"/>
          </w:tcPr>
          <w:p>
            <w:pPr>
              <w:jc w:val="both"/>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tc>
        <w:tc>
          <w:tcPr>
            <w:tcW w:w="489" w:type="dxa"/>
            <w:noWrap w:val="false"/>
            <w:textDirection w:val="lrTb"/>
          </w:tcPr>
          <w:p>
            <w:pPr>
              <w:jc w:val="both"/>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tc>
        <w:tc>
          <w:tcPr>
            <w:tcW w:w="4810" w:type="dxa"/>
            <w:noWrap w:val="false"/>
            <w:textDirection w:val="lrTb"/>
          </w:tcPr>
          <w:p>
            <w:pPr>
              <w:jc w:val="both"/>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tc>
      </w:tr>
      <w:tr>
        <w:trPr>
          <w:cantSplit/>
          <w:trHeight w:val="227"/>
        </w:trPr>
        <w:tblPrEx/>
        <w:tc>
          <w:tcPr>
            <w:tcW w:w="489" w:type="dxa"/>
            <w:noWrap w:val="false"/>
            <w:textDirection w:val="lrTb"/>
          </w:tcPr>
          <w:p>
            <w:pPr>
              <w:rPr>
                <w:rFonts w:ascii="Arial" w:hAnsi="Arial" w:cs="Arial"/>
                <w:sz w:val="20"/>
                <w:szCs w:val="20"/>
                <w:highlight w:val="white"/>
                <w14:ligatures w14:val="none"/>
              </w:rPr>
            </w:pPr>
            <w:r>
              <w:rPr>
                <w:rFonts w:ascii="Arial" w:hAnsi="Arial" w:cs="Arial"/>
                <w:sz w:val="20"/>
                <w:szCs w:val="20"/>
                <w:highlight w:val="white"/>
              </w:rPr>
            </w:r>
            <w:r>
              <w:rPr>
                <w:rFonts w:ascii="Arial" w:hAnsi="Arial" w:cs="Arial"/>
                <w:sz w:val="20"/>
                <w:szCs w:val="20"/>
                <w:highlight w:val="white"/>
                <w14:ligatures w14:val="none"/>
              </w:rPr>
            </w:r>
            <w:r>
              <w:rPr>
                <w:rFonts w:ascii="Arial" w:hAnsi="Arial" w:cs="Arial"/>
                <w:sz w:val="20"/>
                <w:szCs w:val="20"/>
                <w:highlight w:val="white"/>
                <w14:ligatures w14:val="none"/>
              </w:rPr>
            </w:r>
          </w:p>
        </w:tc>
        <w:tc>
          <w:tcPr>
            <w:tcW w:w="9979" w:type="dxa"/>
            <w:gridSpan w:val="4"/>
            <w:noWrap w:val="false"/>
            <w:textDirection w:val="lrTb"/>
          </w:tcPr>
          <w:p>
            <w:pPr>
              <w:jc w:val="center"/>
              <w:rPr>
                <w:rFonts w:ascii="Arial" w:hAnsi="Arial" w:cs="Arial"/>
                <w:sz w:val="20"/>
                <w:szCs w:val="20"/>
                <w:highlight w:val="white"/>
                <w14:ligatures w14:val="none"/>
              </w:rPr>
            </w:pPr>
            <w:r>
              <w:rPr>
                <w:rFonts w:ascii="Arial" w:hAnsi="Arial" w:cs="Arial"/>
                <w:sz w:val="20"/>
                <w:szCs w:val="20"/>
                <w:highlight w:val="white"/>
              </w:rPr>
              <w:t xml:space="preserve">Банковские реквизиты:</w:t>
            </w:r>
            <w:r>
              <w:rPr>
                <w:rFonts w:ascii="Arial" w:hAnsi="Arial" w:cs="Arial"/>
                <w:sz w:val="20"/>
                <w:szCs w:val="20"/>
                <w:highlight w:val="white"/>
                <w14:ligatures w14:val="none"/>
              </w:rPr>
            </w:r>
            <w:r>
              <w:rPr>
                <w:rFonts w:ascii="Arial" w:hAnsi="Arial" w:cs="Arial"/>
                <w:sz w:val="20"/>
                <w:szCs w:val="20"/>
                <w:highlight w:val="white"/>
                <w14:ligatures w14:val="none"/>
              </w:rPr>
            </w:r>
          </w:p>
        </w:tc>
      </w:tr>
      <w:tr>
        <w:trPr>
          <w:cantSplit/>
          <w:trHeight w:val="454"/>
        </w:trPr>
        <w:tblPrEx/>
        <w:tc>
          <w:tcPr>
            <w:tcW w:w="4680" w:type="dxa"/>
            <w:gridSpan w:val="2"/>
            <w:noWrap w:val="false"/>
            <w:textDirection w:val="lrTb"/>
          </w:tcPr>
          <w:p>
            <w:pPr>
              <w:rPr>
                <w:rFonts w:ascii="Arial" w:hAnsi="Arial" w:cs="Arial"/>
                <w:sz w:val="20"/>
                <w:szCs w:val="20"/>
                <w:highlight w:val="white"/>
                <w14:ligatures w14:val="none"/>
              </w:rPr>
            </w:pPr>
            <w:r>
              <w:rPr>
                <w:rFonts w:ascii="Arial" w:hAnsi="Arial" w:cs="Arial"/>
                <w:sz w:val="20"/>
                <w:szCs w:val="20"/>
                <w:highlight w:val="white"/>
              </w:rPr>
              <w:t xml:space="preserve">р/с </w:t>
            </w:r>
            <w:r>
              <w:rPr>
                <w:rFonts w:ascii="Arial" w:hAnsi="Arial" w:cs="Arial"/>
                <w:sz w:val="20"/>
                <w:szCs w:val="20"/>
                <w:highlight w:val="white"/>
              </w:rPr>
              <w:t xml:space="preserve">4</w:t>
            </w:r>
            <w:r>
              <w:rPr>
                <w:rFonts w:ascii="Arial" w:hAnsi="Arial" w:cs="Arial"/>
                <w:sz w:val="20"/>
                <w:szCs w:val="20"/>
                <w:highlight w:val="white"/>
              </w:rPr>
              <w:t xml:space="preserve">0702810692000004017</w:t>
            </w:r>
            <w:r>
              <w:rPr>
                <w:rFonts w:ascii="Arial" w:hAnsi="Arial" w:cs="Arial"/>
                <w:sz w:val="20"/>
                <w:szCs w:val="20"/>
                <w:highlight w:val="white"/>
              </w:rPr>
              <w:t xml:space="preserve"> в Банк ГПБ (АО) г. Москва</w:t>
            </w:r>
            <w:r>
              <w:rPr>
                <w:rFonts w:ascii="Arial" w:hAnsi="Arial" w:cs="Arial"/>
                <w:sz w:val="20"/>
                <w:szCs w:val="20"/>
                <w:highlight w:val="white"/>
                <w14:ligatures w14:val="none"/>
              </w:rPr>
            </w:r>
            <w:r>
              <w:rPr>
                <w:rFonts w:ascii="Arial" w:hAnsi="Arial" w:cs="Arial"/>
                <w:sz w:val="20"/>
                <w:szCs w:val="20"/>
                <w:highlight w:val="white"/>
                <w14:ligatures w14:val="none"/>
              </w:rPr>
            </w:r>
          </w:p>
        </w:tc>
        <w:tc>
          <w:tcPr>
            <w:tcW w:w="489" w:type="dxa"/>
            <w:noWrap w:val="false"/>
            <w:textDirection w:val="lrTb"/>
          </w:tcPr>
          <w:p>
            <w:pPr>
              <w:rPr>
                <w:rFonts w:ascii="Arial" w:hAnsi="Arial" w:cs="Arial"/>
                <w:sz w:val="20"/>
                <w:szCs w:val="20"/>
                <w:highlight w:val="white"/>
                <w14:ligatures w14:val="none"/>
              </w:rPr>
            </w:pPr>
            <w:r>
              <w:rPr>
                <w:rFonts w:ascii="Arial" w:hAnsi="Arial" w:cs="Arial"/>
                <w:sz w:val="20"/>
                <w:szCs w:val="20"/>
                <w:highlight w:val="white"/>
              </w:rPr>
            </w:r>
            <w:r>
              <w:rPr>
                <w:rFonts w:ascii="Arial" w:hAnsi="Arial" w:cs="Arial"/>
                <w:sz w:val="20"/>
                <w:szCs w:val="20"/>
                <w:highlight w:val="white"/>
                <w14:ligatures w14:val="none"/>
              </w:rPr>
            </w:r>
            <w:r>
              <w:rPr>
                <w:rFonts w:ascii="Arial" w:hAnsi="Arial" w:cs="Arial"/>
                <w:sz w:val="20"/>
                <w:szCs w:val="20"/>
                <w:highlight w:val="white"/>
                <w14:ligatures w14:val="none"/>
              </w:rPr>
            </w:r>
          </w:p>
        </w:tc>
        <w:tc>
          <w:tcPr>
            <w:tcW w:w="489" w:type="dxa"/>
            <w:noWrap w:val="false"/>
            <w:textDirection w:val="lrTb"/>
          </w:tcPr>
          <w:p>
            <w:pPr>
              <w:rPr>
                <w:rFonts w:ascii="Arial" w:hAnsi="Arial" w:cs="Arial"/>
                <w:sz w:val="20"/>
                <w:szCs w:val="20"/>
                <w:highlight w:val="white"/>
                <w14:ligatures w14:val="none"/>
              </w:rPr>
            </w:pPr>
            <w:r>
              <w:rPr>
                <w:rFonts w:ascii="Arial" w:hAnsi="Arial" w:cs="Arial"/>
                <w:sz w:val="20"/>
                <w:szCs w:val="20"/>
                <w:highlight w:val="white"/>
              </w:rPr>
            </w:r>
            <w:r>
              <w:rPr>
                <w:rFonts w:ascii="Arial" w:hAnsi="Arial" w:cs="Arial"/>
                <w:sz w:val="20"/>
                <w:szCs w:val="20"/>
                <w:highlight w:val="white"/>
                <w14:ligatures w14:val="none"/>
              </w:rPr>
            </w:r>
            <w:r>
              <w:rPr>
                <w:rFonts w:ascii="Arial" w:hAnsi="Arial" w:cs="Arial"/>
                <w:sz w:val="20"/>
                <w:szCs w:val="20"/>
                <w:highlight w:val="white"/>
                <w14:ligatures w14:val="none"/>
              </w:rPr>
            </w:r>
          </w:p>
        </w:tc>
        <w:tc>
          <w:tcPr>
            <w:tcW w:w="4810" w:type="dxa"/>
            <w:noWrap w:val="false"/>
            <w:textDirection w:val="lrTb"/>
          </w:tcPr>
          <w:p>
            <w:pPr>
              <w:rPr>
                <w:rFonts w:ascii="Arial" w:hAnsi="Arial" w:cs="Arial"/>
                <w:sz w:val="20"/>
                <w:szCs w:val="20"/>
                <w:highlight w:val="white"/>
                <w14:ligatures w14:val="none"/>
              </w:rPr>
            </w:pPr>
            <w:r>
              <w:rPr>
                <w:rFonts w:ascii="Arial" w:hAnsi="Arial" w:cs="Arial"/>
                <w:sz w:val="20"/>
                <w:szCs w:val="20"/>
                <w:highlight w:val="white"/>
              </w:rPr>
              <w:t xml:space="preserve">р/с </w:t>
            </w:r>
            <w:r>
              <w:rPr>
                <w:rFonts w:ascii="Arial" w:hAnsi="Arial" w:cs="Arial"/>
                <w:sz w:val="20"/>
                <w:szCs w:val="20"/>
                <w:highlight w:val="white"/>
                <w14:ligatures w14:val="none"/>
              </w:rPr>
            </w:r>
            <w:r>
              <w:rPr>
                <w:rFonts w:ascii="Arial" w:hAnsi="Arial" w:cs="Arial"/>
                <w:sz w:val="20"/>
                <w:szCs w:val="20"/>
                <w:highlight w:val="white"/>
                <w14:ligatures w14:val="none"/>
              </w:rPr>
            </w:r>
          </w:p>
        </w:tc>
      </w:tr>
      <w:tr>
        <w:trPr>
          <w:trHeight w:val="227"/>
        </w:trPr>
        <w:tblPrEx/>
        <w:tc>
          <w:tcPr>
            <w:tcW w:w="4680" w:type="dxa"/>
            <w:gridSpan w:val="2"/>
            <w:noWrap w:val="false"/>
            <w:textDirection w:val="lrTb"/>
          </w:tcPr>
          <w:p>
            <w:pPr>
              <w:rPr>
                <w:rFonts w:ascii="Arial" w:hAnsi="Arial" w:cs="Arial"/>
                <w:sz w:val="20"/>
                <w:szCs w:val="20"/>
                <w:highlight w:val="white"/>
              </w:rPr>
            </w:pPr>
            <w:r>
              <w:rPr>
                <w:rFonts w:ascii="Arial" w:hAnsi="Arial" w:cs="Arial"/>
                <w:sz w:val="20"/>
                <w:szCs w:val="20"/>
                <w:highlight w:val="white"/>
              </w:rPr>
              <w:t xml:space="preserve">БИК </w:t>
            </w:r>
            <w:r>
              <w:rPr>
                <w:rFonts w:ascii="Arial" w:hAnsi="Arial" w:cs="Arial"/>
                <w:sz w:val="20"/>
                <w:szCs w:val="20"/>
                <w:highlight w:val="white"/>
                <w:lang w:val="en-US"/>
              </w:rPr>
              <w:t xml:space="preserve">044525823</w:t>
            </w:r>
            <w:r>
              <w:rPr>
                <w:rFonts w:ascii="Arial" w:hAnsi="Arial" w:cs="Arial"/>
                <w:sz w:val="20"/>
                <w:szCs w:val="20"/>
                <w:highlight w:val="white"/>
              </w:rPr>
              <w:t xml:space="preserve">, к/с 30101810200000000823</w:t>
            </w:r>
            <w:r>
              <w:rPr>
                <w:rFonts w:ascii="Arial" w:hAnsi="Arial" w:cs="Arial"/>
                <w:sz w:val="20"/>
                <w:szCs w:val="20"/>
                <w:highlight w:val="white"/>
              </w:rPr>
            </w:r>
            <w:r>
              <w:rPr>
                <w:rFonts w:ascii="Arial" w:hAnsi="Arial" w:cs="Arial"/>
                <w:sz w:val="20"/>
                <w:szCs w:val="20"/>
                <w:highlight w:val="white"/>
              </w:rPr>
            </w:r>
          </w:p>
        </w:tc>
        <w:tc>
          <w:tcPr>
            <w:tcW w:w="489" w:type="dxa"/>
            <w:noWrap w:val="false"/>
            <w:textDirection w:val="lrTb"/>
          </w:tcPr>
          <w:p>
            <w:pPr>
              <w:jc w:val="both"/>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tc>
        <w:tc>
          <w:tcPr>
            <w:tcW w:w="489" w:type="dxa"/>
            <w:noWrap w:val="false"/>
            <w:textDirection w:val="lrTb"/>
          </w:tcPr>
          <w:p>
            <w:pPr>
              <w:jc w:val="both"/>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tc>
        <w:tc>
          <w:tcPr>
            <w:tcW w:w="4810" w:type="dxa"/>
            <w:noWrap w:val="false"/>
            <w:textDirection w:val="lrTb"/>
            <w:vAlign w:val="center"/>
          </w:tcPr>
          <w:p>
            <w:pPr>
              <w:rPr>
                <w:rFonts w:ascii="Arial" w:hAnsi="Arial" w:cs="Arial"/>
                <w:sz w:val="20"/>
                <w:szCs w:val="20"/>
                <w:highlight w:val="white"/>
              </w:rPr>
            </w:pPr>
            <w:r>
              <w:rPr>
                <w:rFonts w:ascii="Arial" w:hAnsi="Arial" w:cs="Arial"/>
                <w:sz w:val="20"/>
                <w:szCs w:val="20"/>
                <w:highlight w:val="white"/>
              </w:rPr>
              <w:t xml:space="preserve">БИК                   </w:t>
            </w:r>
            <w:r>
              <w:rPr>
                <w:rFonts w:ascii="Arial" w:hAnsi="Arial" w:cs="Arial"/>
                <w:sz w:val="20"/>
                <w:szCs w:val="20"/>
                <w:highlight w:val="white"/>
              </w:rPr>
              <w:t xml:space="preserve">  ,</w:t>
            </w:r>
            <w:r>
              <w:rPr>
                <w:rFonts w:ascii="Arial" w:hAnsi="Arial" w:cs="Arial"/>
                <w:sz w:val="20"/>
                <w:szCs w:val="20"/>
                <w:highlight w:val="white"/>
              </w:rPr>
              <w:t xml:space="preserve"> к/с  </w:t>
            </w:r>
            <w:r>
              <w:rPr>
                <w:rFonts w:ascii="Arial" w:hAnsi="Arial" w:cs="Arial"/>
                <w:sz w:val="20"/>
                <w:szCs w:val="20"/>
                <w:highlight w:val="white"/>
              </w:rPr>
            </w:r>
            <w:r>
              <w:rPr>
                <w:rFonts w:ascii="Arial" w:hAnsi="Arial" w:cs="Arial"/>
                <w:sz w:val="20"/>
                <w:szCs w:val="20"/>
                <w:highlight w:val="white"/>
              </w:rPr>
            </w:r>
          </w:p>
        </w:tc>
      </w:tr>
      <w:tr>
        <w:trPr>
          <w:trHeight w:val="227"/>
        </w:trPr>
        <w:tblPrEx/>
        <w:tc>
          <w:tcPr>
            <w:tcW w:w="4680" w:type="dxa"/>
            <w:gridSpan w:val="2"/>
            <w:noWrap w:val="false"/>
            <w:textDirection w:val="lrTb"/>
          </w:tcPr>
          <w:p>
            <w:pPr>
              <w:rPr>
                <w:rFonts w:ascii="Arial" w:hAnsi="Arial" w:cs="Arial"/>
                <w:sz w:val="20"/>
                <w:szCs w:val="20"/>
                <w:highlight w:val="white"/>
              </w:rPr>
            </w:pPr>
            <w:r>
              <w:rPr>
                <w:rFonts w:ascii="Arial" w:hAnsi="Arial" w:cs="Arial"/>
                <w:sz w:val="20"/>
                <w:szCs w:val="20"/>
                <w:highlight w:val="white"/>
              </w:rPr>
              <w:t xml:space="preserve">ОКВЭД 42.22.3</w:t>
            </w:r>
            <w:r>
              <w:rPr>
                <w:rFonts w:ascii="Arial" w:hAnsi="Arial" w:cs="Arial"/>
                <w:sz w:val="20"/>
                <w:szCs w:val="20"/>
                <w:highlight w:val="white"/>
              </w:rPr>
              <w:t xml:space="preserve"> ОКПО </w:t>
            </w:r>
            <w:r>
              <w:rPr>
                <w:rFonts w:ascii="Arial" w:hAnsi="Arial" w:cs="Arial"/>
                <w:sz w:val="20"/>
                <w:szCs w:val="20"/>
                <w:highlight w:val="white"/>
              </w:rPr>
              <w:t xml:space="preserve">61618211</w:t>
            </w:r>
            <w:r>
              <w:rPr>
                <w:rFonts w:ascii="Arial" w:hAnsi="Arial" w:cs="Arial"/>
                <w:sz w:val="20"/>
                <w:szCs w:val="20"/>
                <w:highlight w:val="white"/>
              </w:rPr>
            </w:r>
            <w:r>
              <w:rPr>
                <w:rFonts w:ascii="Arial" w:hAnsi="Arial" w:cs="Arial"/>
                <w:sz w:val="20"/>
                <w:szCs w:val="20"/>
                <w:highlight w:val="white"/>
              </w:rPr>
            </w:r>
          </w:p>
        </w:tc>
        <w:tc>
          <w:tcPr>
            <w:tcW w:w="489" w:type="dxa"/>
            <w:noWrap w:val="false"/>
            <w:textDirection w:val="lrTb"/>
          </w:tcPr>
          <w:p>
            <w:pPr>
              <w:jc w:val="both"/>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tc>
        <w:tc>
          <w:tcPr>
            <w:tcW w:w="489" w:type="dxa"/>
            <w:noWrap w:val="false"/>
            <w:textDirection w:val="lrTb"/>
          </w:tcPr>
          <w:p>
            <w:pPr>
              <w:jc w:val="both"/>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tc>
        <w:tc>
          <w:tcPr>
            <w:tcW w:w="4810" w:type="dxa"/>
            <w:noWrap w:val="false"/>
            <w:textDirection w:val="lrTb"/>
          </w:tcPr>
          <w:p>
            <w:pPr>
              <w:jc w:val="both"/>
              <w:rPr>
                <w:rFonts w:ascii="Arial" w:hAnsi="Arial" w:cs="Arial"/>
                <w:sz w:val="20"/>
                <w:szCs w:val="20"/>
                <w:highlight w:val="white"/>
              </w:rPr>
            </w:pPr>
            <w:r>
              <w:rPr>
                <w:rFonts w:ascii="Arial" w:hAnsi="Arial" w:cs="Arial"/>
                <w:sz w:val="20"/>
                <w:szCs w:val="20"/>
                <w:highlight w:val="white"/>
              </w:rPr>
              <w:t xml:space="preserve">ОКВЭД  ,</w:t>
            </w:r>
            <w:r>
              <w:rPr>
                <w:rFonts w:ascii="Arial" w:hAnsi="Arial" w:cs="Arial"/>
                <w:sz w:val="20"/>
                <w:szCs w:val="20"/>
                <w:highlight w:val="white"/>
              </w:rPr>
              <w:t xml:space="preserve"> ОКПО </w:t>
            </w:r>
            <w:r>
              <w:rPr>
                <w:rFonts w:ascii="Arial" w:hAnsi="Arial" w:cs="Arial"/>
                <w:sz w:val="20"/>
                <w:szCs w:val="20"/>
                <w:highlight w:val="white"/>
              </w:rPr>
            </w:r>
            <w:r>
              <w:rPr>
                <w:rFonts w:ascii="Arial" w:hAnsi="Arial" w:cs="Arial"/>
                <w:sz w:val="20"/>
                <w:szCs w:val="20"/>
                <w:highlight w:val="white"/>
              </w:rPr>
            </w:r>
          </w:p>
        </w:tc>
      </w:tr>
      <w:tr>
        <w:trPr>
          <w:cantSplit/>
          <w:trHeight w:val="227"/>
        </w:trPr>
        <w:tblPrEx/>
        <w:tc>
          <w:tcPr>
            <w:tcW w:w="489" w:type="dxa"/>
            <w:noWrap w:val="false"/>
            <w:textDirection w:val="lrTb"/>
          </w:tcPr>
          <w:p>
            <w:pPr>
              <w:jc w:val="center"/>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tc>
        <w:tc>
          <w:tcPr>
            <w:tcW w:w="9979" w:type="dxa"/>
            <w:gridSpan w:val="4"/>
            <w:noWrap w:val="false"/>
            <w:textDirection w:val="lrTb"/>
          </w:tcPr>
          <w:p>
            <w:pPr>
              <w:jc w:val="center"/>
              <w:rPr>
                <w:rFonts w:ascii="Arial" w:hAnsi="Arial" w:cs="Arial"/>
                <w:sz w:val="20"/>
                <w:szCs w:val="20"/>
                <w:highlight w:val="white"/>
              </w:rPr>
            </w:pPr>
            <w:r>
              <w:rPr>
                <w:rFonts w:ascii="Arial" w:hAnsi="Arial" w:cs="Arial"/>
                <w:sz w:val="20"/>
                <w:szCs w:val="20"/>
                <w:highlight w:val="white"/>
              </w:rPr>
              <w:t xml:space="preserve">Телефоны:</w:t>
            </w:r>
            <w:r>
              <w:rPr>
                <w:rFonts w:ascii="Arial" w:hAnsi="Arial" w:cs="Arial"/>
                <w:sz w:val="20"/>
                <w:szCs w:val="20"/>
                <w:highlight w:val="white"/>
              </w:rPr>
            </w:r>
            <w:r>
              <w:rPr>
                <w:rFonts w:ascii="Arial" w:hAnsi="Arial" w:cs="Arial"/>
                <w:sz w:val="20"/>
                <w:szCs w:val="20"/>
                <w:highlight w:val="white"/>
              </w:rPr>
            </w:r>
          </w:p>
        </w:tc>
      </w:tr>
      <w:tr>
        <w:trPr>
          <w:trHeight w:val="454"/>
        </w:trPr>
        <w:tblPrEx/>
        <w:tc>
          <w:tcPr>
            <w:tcW w:w="4680" w:type="dxa"/>
            <w:gridSpan w:val="2"/>
            <w:noWrap w:val="false"/>
            <w:textDirection w:val="lrTb"/>
          </w:tcPr>
          <w:p>
            <w:pPr>
              <w:jc w:val="both"/>
              <w:rPr>
                <w:rFonts w:ascii="Arial" w:hAnsi="Arial" w:cs="Arial"/>
                <w:sz w:val="20"/>
                <w:szCs w:val="20"/>
                <w:highlight w:val="white"/>
              </w:rPr>
            </w:pPr>
            <w:r>
              <w:rPr>
                <w:rFonts w:ascii="Arial" w:hAnsi="Arial" w:cs="Arial"/>
                <w:sz w:val="20"/>
                <w:szCs w:val="20"/>
                <w:highlight w:val="white"/>
              </w:rPr>
              <w:t xml:space="preserve">Телефон: +7 (495) 664-88-40</w:t>
            </w:r>
            <w:r>
              <w:rPr>
                <w:rFonts w:ascii="Arial" w:hAnsi="Arial" w:cs="Arial"/>
                <w:sz w:val="20"/>
                <w:szCs w:val="20"/>
                <w:highlight w:val="white"/>
              </w:rPr>
            </w:r>
            <w:r>
              <w:rPr>
                <w:rFonts w:ascii="Arial" w:hAnsi="Arial" w:cs="Arial"/>
                <w:sz w:val="20"/>
                <w:szCs w:val="20"/>
                <w:highlight w:val="white"/>
              </w:rPr>
            </w:r>
          </w:p>
          <w:p>
            <w:pPr>
              <w:jc w:val="both"/>
              <w:rPr>
                <w:rFonts w:ascii="Arial" w:hAnsi="Arial" w:cs="Arial"/>
                <w:sz w:val="20"/>
                <w:szCs w:val="20"/>
                <w:highlight w:val="white"/>
              </w:rPr>
            </w:pPr>
            <w:r>
              <w:rPr>
                <w:rFonts w:ascii="Arial" w:hAnsi="Arial" w:cs="Arial"/>
                <w:sz w:val="20"/>
                <w:szCs w:val="20"/>
                <w:highlight w:val="white"/>
                <w:lang w:val="en-US"/>
              </w:rPr>
            </w:r>
            <w:r>
              <w:rPr>
                <w:rFonts w:ascii="Arial" w:hAnsi="Arial" w:cs="Arial"/>
                <w:sz w:val="20"/>
                <w:szCs w:val="20"/>
                <w:highlight w:val="white"/>
              </w:rPr>
            </w:r>
            <w:r>
              <w:rPr>
                <w:rFonts w:ascii="Arial" w:hAnsi="Arial" w:cs="Arial"/>
                <w:sz w:val="20"/>
                <w:szCs w:val="20"/>
                <w:highlight w:val="white"/>
              </w:rPr>
            </w:r>
          </w:p>
        </w:tc>
        <w:tc>
          <w:tcPr>
            <w:tcW w:w="489" w:type="dxa"/>
            <w:noWrap w:val="false"/>
            <w:textDirection w:val="lrTb"/>
          </w:tcPr>
          <w:p>
            <w:pPr>
              <w:jc w:val="both"/>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tc>
        <w:tc>
          <w:tcPr>
            <w:tcW w:w="489" w:type="dxa"/>
            <w:noWrap w:val="false"/>
            <w:textDirection w:val="lrTb"/>
          </w:tcPr>
          <w:p>
            <w:pPr>
              <w:jc w:val="both"/>
              <w:rPr>
                <w:rFonts w:ascii="Arial" w:hAnsi="Arial" w:cs="Arial"/>
                <w:sz w:val="20"/>
                <w:szCs w:val="20"/>
                <w:highlight w:val="white"/>
              </w:rPr>
            </w:pPr>
            <w:r>
              <w:rPr>
                <w:rFonts w:ascii="Arial" w:hAnsi="Arial" w:cs="Arial"/>
                <w:sz w:val="20"/>
                <w:szCs w:val="20"/>
                <w:highlight w:val="white"/>
              </w:rPr>
              <w:t xml:space="preserve"> </w:t>
            </w:r>
            <w:r>
              <w:rPr>
                <w:rFonts w:ascii="Arial" w:hAnsi="Arial" w:cs="Arial"/>
                <w:sz w:val="20"/>
                <w:szCs w:val="20"/>
                <w:highlight w:val="white"/>
              </w:rPr>
            </w:r>
            <w:r>
              <w:rPr>
                <w:rFonts w:ascii="Arial" w:hAnsi="Arial" w:cs="Arial"/>
                <w:sz w:val="20"/>
                <w:szCs w:val="20"/>
                <w:highlight w:val="white"/>
              </w:rPr>
            </w:r>
          </w:p>
        </w:tc>
        <w:tc>
          <w:tcPr>
            <w:tcW w:w="4810" w:type="dxa"/>
            <w:noWrap w:val="false"/>
            <w:textDirection w:val="lrTb"/>
          </w:tcPr>
          <w:p>
            <w:pPr>
              <w:jc w:val="both"/>
              <w:rPr>
                <w:rFonts w:ascii="Arial" w:hAnsi="Arial" w:cs="Arial"/>
                <w:sz w:val="20"/>
                <w:szCs w:val="20"/>
                <w:highlight w:val="white"/>
              </w:rPr>
            </w:pPr>
            <w:r>
              <w:rPr>
                <w:rFonts w:ascii="Arial" w:hAnsi="Arial" w:cs="Arial"/>
                <w:sz w:val="20"/>
                <w:szCs w:val="20"/>
                <w:highlight w:val="white"/>
                <w:lang w:val="en-US"/>
              </w:rPr>
            </w:r>
            <w:r>
              <w:rPr>
                <w:rFonts w:ascii="Arial" w:hAnsi="Arial" w:cs="Arial"/>
                <w:sz w:val="20"/>
                <w:szCs w:val="20"/>
                <w:highlight w:val="white"/>
              </w:rPr>
            </w:r>
            <w:r>
              <w:rPr>
                <w:rFonts w:ascii="Arial" w:hAnsi="Arial" w:cs="Arial"/>
                <w:sz w:val="20"/>
                <w:szCs w:val="20"/>
                <w:highlight w:val="white"/>
              </w:rPr>
            </w:r>
          </w:p>
        </w:tc>
      </w:tr>
      <w:tr>
        <w:trPr>
          <w:trHeight w:val="227"/>
        </w:trPr>
        <w:tblPrEx/>
        <w:tc>
          <w:tcPr>
            <w:tcW w:w="4680" w:type="dxa"/>
            <w:gridSpan w:val="2"/>
            <w:noWrap w:val="false"/>
            <w:textDirection w:val="lrTb"/>
          </w:tcPr>
          <w:p>
            <w:pPr>
              <w:jc w:val="both"/>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tc>
        <w:tc>
          <w:tcPr>
            <w:tcW w:w="489" w:type="dxa"/>
            <w:noWrap w:val="false"/>
            <w:textDirection w:val="lrTb"/>
          </w:tcPr>
          <w:p>
            <w:pPr>
              <w:jc w:val="both"/>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tc>
        <w:tc>
          <w:tcPr>
            <w:tcW w:w="489" w:type="dxa"/>
            <w:noWrap w:val="false"/>
            <w:textDirection w:val="lrTb"/>
          </w:tcPr>
          <w:p>
            <w:pPr>
              <w:jc w:val="both"/>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tc>
        <w:tc>
          <w:tcPr>
            <w:tcW w:w="4810" w:type="dxa"/>
            <w:noWrap w:val="false"/>
            <w:textDirection w:val="lrTb"/>
          </w:tcPr>
          <w:p>
            <w:pPr>
              <w:jc w:val="both"/>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tc>
      </w:tr>
      <w:tr>
        <w:trPr>
          <w:trHeight w:val="454"/>
        </w:trPr>
        <w:tblPrEx/>
        <w:tc>
          <w:tcPr>
            <w:tcW w:w="4680" w:type="dxa"/>
            <w:gridSpan w:val="2"/>
            <w:noWrap w:val="false"/>
            <w:textDirection w:val="lrTb"/>
          </w:tcPr>
          <w:p>
            <w:pPr>
              <w:jc w:val="both"/>
              <w:rPr>
                <w:rFonts w:ascii="Arial" w:hAnsi="Arial" w:cs="Arial"/>
                <w:sz w:val="20"/>
                <w:szCs w:val="20"/>
                <w:highlight w:val="white"/>
              </w:rPr>
            </w:pPr>
            <w:r>
              <w:rPr>
                <w:rFonts w:ascii="Arial" w:hAnsi="Arial" w:cs="Arial"/>
                <w:sz w:val="20"/>
                <w:szCs w:val="20"/>
                <w:highlight w:val="white"/>
                <w:lang w:val="en-US"/>
              </w:rPr>
              <w:t xml:space="preserve">_________________________________________________</w:t>
            </w:r>
            <w:r>
              <w:rPr>
                <w:rFonts w:ascii="Arial" w:hAnsi="Arial" w:cs="Arial"/>
                <w:sz w:val="20"/>
                <w:szCs w:val="20"/>
                <w:highlight w:val="white"/>
              </w:rPr>
            </w:r>
            <w:r>
              <w:rPr>
                <w:rFonts w:ascii="Arial" w:hAnsi="Arial" w:cs="Arial"/>
                <w:sz w:val="20"/>
                <w:szCs w:val="20"/>
                <w:highlight w:val="white"/>
              </w:rPr>
            </w:r>
          </w:p>
        </w:tc>
        <w:tc>
          <w:tcPr>
            <w:tcW w:w="489" w:type="dxa"/>
            <w:noWrap w:val="false"/>
            <w:textDirection w:val="lrTb"/>
          </w:tcPr>
          <w:p>
            <w:pPr>
              <w:jc w:val="both"/>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tc>
        <w:tc>
          <w:tcPr>
            <w:tcW w:w="489" w:type="dxa"/>
            <w:noWrap w:val="false"/>
            <w:textDirection w:val="lrTb"/>
          </w:tcPr>
          <w:p>
            <w:pPr>
              <w:jc w:val="both"/>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tc>
        <w:tc>
          <w:tcPr>
            <w:tcW w:w="4810" w:type="dxa"/>
            <w:noWrap w:val="false"/>
            <w:textDirection w:val="lrTb"/>
          </w:tcPr>
          <w:p>
            <w:pPr>
              <w:jc w:val="both"/>
              <w:rPr>
                <w:rFonts w:ascii="Arial" w:hAnsi="Arial" w:cs="Arial"/>
                <w:sz w:val="20"/>
                <w:szCs w:val="20"/>
                <w:highlight w:val="white"/>
              </w:rPr>
            </w:pPr>
            <w:r>
              <w:rPr>
                <w:rFonts w:ascii="Arial" w:hAnsi="Arial" w:cs="Arial"/>
                <w:sz w:val="20"/>
                <w:szCs w:val="20"/>
                <w:highlight w:val="white"/>
                <w:lang w:val="en-US"/>
              </w:rPr>
              <w:t xml:space="preserve">__________________________________________________</w:t>
            </w:r>
            <w:r>
              <w:rPr>
                <w:rFonts w:ascii="Arial" w:hAnsi="Arial" w:cs="Arial"/>
                <w:sz w:val="20"/>
                <w:szCs w:val="20"/>
                <w:highlight w:val="white"/>
              </w:rPr>
            </w:r>
            <w:r>
              <w:rPr>
                <w:rFonts w:ascii="Arial" w:hAnsi="Arial" w:cs="Arial"/>
                <w:sz w:val="20"/>
                <w:szCs w:val="20"/>
                <w:highlight w:val="white"/>
              </w:rPr>
            </w:r>
          </w:p>
        </w:tc>
      </w:tr>
      <w:tr>
        <w:trPr>
          <w:trHeight w:val="227"/>
        </w:trPr>
        <w:tblPrEx/>
        <w:tc>
          <w:tcPr>
            <w:tcW w:w="4680" w:type="dxa"/>
            <w:gridSpan w:val="2"/>
            <w:noWrap w:val="false"/>
            <w:textDirection w:val="lrTb"/>
          </w:tcPr>
          <w:p>
            <w:pPr>
              <w:jc w:val="both"/>
              <w:rPr>
                <w:rFonts w:ascii="Arial" w:hAnsi="Arial" w:cs="Arial"/>
                <w:sz w:val="20"/>
                <w:szCs w:val="20"/>
                <w:highlight w:val="white"/>
              </w:rPr>
            </w:pPr>
            <w:r>
              <w:rPr>
                <w:rFonts w:ascii="Arial" w:hAnsi="Arial" w:cs="Arial"/>
                <w:sz w:val="20"/>
                <w:szCs w:val="20"/>
                <w:highlight w:val="white"/>
              </w:rPr>
              <w:tab/>
            </w:r>
            <w:r>
              <w:rPr>
                <w:rFonts w:ascii="Arial" w:hAnsi="Arial" w:cs="Arial"/>
                <w:sz w:val="20"/>
                <w:szCs w:val="20"/>
                <w:highlight w:val="white"/>
              </w:rPr>
              <w:tab/>
              <w:t xml:space="preserve">/____________________/</w:t>
            </w:r>
            <w:r>
              <w:rPr>
                <w:rFonts w:ascii="Arial" w:hAnsi="Arial" w:cs="Arial"/>
                <w:sz w:val="20"/>
                <w:szCs w:val="20"/>
                <w:highlight w:val="white"/>
              </w:rPr>
            </w:r>
            <w:r>
              <w:rPr>
                <w:rFonts w:ascii="Arial" w:hAnsi="Arial" w:cs="Arial"/>
                <w:sz w:val="20"/>
                <w:szCs w:val="20"/>
                <w:highlight w:val="white"/>
              </w:rPr>
            </w:r>
          </w:p>
        </w:tc>
        <w:tc>
          <w:tcPr>
            <w:tcW w:w="489" w:type="dxa"/>
            <w:noWrap w:val="false"/>
            <w:textDirection w:val="lrTb"/>
          </w:tcPr>
          <w:p>
            <w:pPr>
              <w:jc w:val="both"/>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tc>
        <w:tc>
          <w:tcPr>
            <w:tcW w:w="489" w:type="dxa"/>
            <w:noWrap w:val="false"/>
            <w:textDirection w:val="lrTb"/>
          </w:tcPr>
          <w:p>
            <w:pPr>
              <w:jc w:val="both"/>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tc>
        <w:tc>
          <w:tcPr>
            <w:tcW w:w="4810" w:type="dxa"/>
            <w:noWrap w:val="false"/>
            <w:textDirection w:val="lrTb"/>
          </w:tcPr>
          <w:p>
            <w:pPr>
              <w:jc w:val="both"/>
              <w:rPr>
                <w:rFonts w:ascii="Arial" w:hAnsi="Arial" w:cs="Arial"/>
                <w:sz w:val="20"/>
                <w:szCs w:val="20"/>
                <w:highlight w:val="white"/>
              </w:rPr>
            </w:pPr>
            <w:r>
              <w:rPr>
                <w:rFonts w:ascii="Arial" w:hAnsi="Arial" w:cs="Arial"/>
                <w:sz w:val="20"/>
                <w:szCs w:val="20"/>
                <w:highlight w:val="white"/>
              </w:rPr>
              <w:tab/>
            </w:r>
            <w:r>
              <w:rPr>
                <w:rFonts w:ascii="Arial" w:hAnsi="Arial" w:cs="Arial"/>
                <w:sz w:val="20"/>
                <w:szCs w:val="20"/>
                <w:highlight w:val="white"/>
              </w:rPr>
              <w:tab/>
              <w:t xml:space="preserve">/ __________________/</w:t>
            </w:r>
            <w:r>
              <w:rPr>
                <w:rFonts w:ascii="Arial" w:hAnsi="Arial" w:cs="Arial"/>
                <w:sz w:val="20"/>
                <w:szCs w:val="20"/>
                <w:highlight w:val="white"/>
              </w:rPr>
            </w:r>
            <w:r>
              <w:rPr>
                <w:rFonts w:ascii="Arial" w:hAnsi="Arial" w:cs="Arial"/>
                <w:sz w:val="20"/>
                <w:szCs w:val="20"/>
                <w:highlight w:val="white"/>
              </w:rPr>
            </w:r>
          </w:p>
        </w:tc>
      </w:tr>
      <w:tr>
        <w:trPr>
          <w:trHeight w:val="227"/>
        </w:trPr>
        <w:tblPrEx/>
        <w:tc>
          <w:tcPr>
            <w:tcW w:w="4680" w:type="dxa"/>
            <w:gridSpan w:val="2"/>
            <w:noWrap w:val="false"/>
            <w:textDirection w:val="lrTb"/>
          </w:tcPr>
          <w:p>
            <w:pPr>
              <w:jc w:val="center"/>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tc>
        <w:tc>
          <w:tcPr>
            <w:tcW w:w="489" w:type="dxa"/>
            <w:noWrap w:val="false"/>
            <w:textDirection w:val="lrTb"/>
          </w:tcPr>
          <w:p>
            <w:pPr>
              <w:jc w:val="both"/>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tc>
        <w:tc>
          <w:tcPr>
            <w:tcW w:w="489" w:type="dxa"/>
            <w:noWrap w:val="false"/>
            <w:textDirection w:val="lrTb"/>
          </w:tcPr>
          <w:p>
            <w:pPr>
              <w:jc w:val="both"/>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tc>
        <w:tc>
          <w:tcPr>
            <w:tcW w:w="4810" w:type="dxa"/>
            <w:noWrap w:val="false"/>
            <w:textDirection w:val="lrTb"/>
          </w:tcPr>
          <w:p>
            <w:pPr>
              <w:keepNext/>
              <w:jc w:val="center"/>
              <w:outlineLvl w:val="3"/>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tc>
      </w:tr>
    </w:tbl>
    <w:p>
      <w:pPr>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p>
      <w:pPr>
        <w:rPr>
          <w:rFonts w:ascii="Arial" w:hAnsi="Arial" w:cs="Arial"/>
          <w:sz w:val="20"/>
          <w:szCs w:val="20"/>
          <w:highlight w:val="white"/>
        </w:rPr>
      </w:pPr>
      <w:r>
        <w:rPr>
          <w:sz w:val="20"/>
          <w:szCs w:val="20"/>
          <w:highlight w:val="white"/>
        </w:rPr>
      </w:r>
      <w:bookmarkStart w:id="37" w:name="Par267"/>
      <w:r>
        <w:rPr>
          <w:sz w:val="20"/>
          <w:szCs w:val="20"/>
          <w:highlight w:val="white"/>
        </w:rPr>
      </w:r>
      <w:bookmarkEnd w:id="37"/>
      <w:r>
        <w:rPr>
          <w:rFonts w:ascii="Arial" w:hAnsi="Arial" w:cs="Arial"/>
          <w:sz w:val="20"/>
          <w:szCs w:val="20"/>
          <w:highlight w:val="white"/>
        </w:rPr>
      </w:r>
      <w:r>
        <w:rPr>
          <w:rFonts w:ascii="Arial" w:hAnsi="Arial" w:cs="Arial"/>
          <w:sz w:val="20"/>
          <w:szCs w:val="20"/>
          <w:highlight w:val="white"/>
        </w:rPr>
      </w:r>
    </w:p>
    <w:p>
      <w:pPr>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p>
      <w:pPr>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p>
      <w:pPr>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p>
      <w:pPr>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p>
      <w:pPr>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p>
      <w:pPr>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p>
      <w:pPr>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p>
      <w:pPr>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p>
      <w:pPr>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p>
      <w:pPr>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p>
      <w:pPr>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p>
      <w:pPr>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p>
      <w:pPr>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p>
      <w:pPr>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p>
      <w:pPr>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p>
      <w:pPr>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p>
      <w:pPr>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p>
      <w:pPr>
        <w:tabs>
          <w:tab w:val="left" w:pos="426" w:leader="none"/>
        </w:tabs>
        <w:jc w:val="center"/>
        <w:rPr>
          <w:rFonts w:ascii="Arial" w:hAnsi="Arial" w:cs="Arial"/>
          <w:sz w:val="20"/>
          <w:szCs w:val="20"/>
          <w:highlight w:val="white"/>
        </w:rPr>
      </w:pPr>
      <w:r>
        <w:rPr>
          <w:rFonts w:ascii="Arial" w:hAnsi="Arial" w:cs="Arial"/>
          <w:sz w:val="20"/>
          <w:szCs w:val="20"/>
          <w:highlight w:val="white"/>
        </w:rPr>
        <w:t xml:space="preserve">                                                                          Приложение №1</w:t>
      </w:r>
      <w:r>
        <w:rPr>
          <w:rFonts w:ascii="Arial" w:hAnsi="Arial" w:cs="Arial"/>
          <w:sz w:val="20"/>
          <w:szCs w:val="20"/>
          <w:highlight w:val="white"/>
        </w:rPr>
      </w:r>
      <w:r>
        <w:rPr>
          <w:rFonts w:ascii="Arial" w:hAnsi="Arial" w:cs="Arial"/>
          <w:sz w:val="20"/>
          <w:szCs w:val="20"/>
          <w:highlight w:val="white"/>
        </w:rPr>
      </w:r>
    </w:p>
    <w:p>
      <w:pPr>
        <w:tabs>
          <w:tab w:val="left" w:pos="426" w:leader="none"/>
        </w:tabs>
        <w:jc w:val="center"/>
        <w:rPr>
          <w:rFonts w:ascii="Arial" w:hAnsi="Arial" w:cs="Arial"/>
          <w:sz w:val="20"/>
          <w:szCs w:val="20"/>
          <w:highlight w:val="white"/>
        </w:rPr>
      </w:pPr>
      <w:r>
        <w:rPr>
          <w:rFonts w:ascii="Arial" w:hAnsi="Arial" w:cs="Arial"/>
          <w:sz w:val="20"/>
          <w:szCs w:val="20"/>
          <w:highlight w:val="white"/>
        </w:rPr>
        <w:t xml:space="preserve">                                                                                                                      к Договору №___ от «_</w:t>
      </w:r>
      <w:r>
        <w:rPr>
          <w:rFonts w:ascii="Arial" w:hAnsi="Arial" w:cs="Arial"/>
          <w:sz w:val="20"/>
          <w:szCs w:val="20"/>
          <w:highlight w:val="white"/>
        </w:rPr>
        <w:t xml:space="preserve">_»_</w:t>
      </w:r>
      <w:r>
        <w:rPr>
          <w:rFonts w:ascii="Arial" w:hAnsi="Arial" w:cs="Arial"/>
          <w:sz w:val="20"/>
          <w:szCs w:val="20"/>
          <w:highlight w:val="white"/>
        </w:rPr>
        <w:t xml:space="preserve">______ 202</w:t>
      </w:r>
      <w:r>
        <w:rPr>
          <w:rFonts w:ascii="Arial" w:hAnsi="Arial" w:cs="Arial"/>
          <w:sz w:val="20"/>
          <w:szCs w:val="20"/>
          <w:highlight w:val="white"/>
        </w:rPr>
        <w:t xml:space="preserve">5</w:t>
      </w:r>
      <w:r>
        <w:rPr>
          <w:rFonts w:ascii="Arial" w:hAnsi="Arial" w:cs="Arial"/>
          <w:sz w:val="20"/>
          <w:szCs w:val="20"/>
          <w:highlight w:val="white"/>
        </w:rPr>
        <w:t xml:space="preserve"> г.</w:t>
      </w:r>
      <w:r>
        <w:rPr>
          <w:rFonts w:ascii="Arial" w:hAnsi="Arial" w:cs="Arial"/>
          <w:sz w:val="20"/>
          <w:szCs w:val="20"/>
          <w:highlight w:val="white"/>
        </w:rPr>
      </w:r>
      <w:r>
        <w:rPr>
          <w:rFonts w:ascii="Arial" w:hAnsi="Arial" w:cs="Arial"/>
          <w:sz w:val="20"/>
          <w:szCs w:val="20"/>
          <w:highlight w:val="white"/>
        </w:rPr>
      </w:r>
    </w:p>
    <w:p>
      <w:pPr>
        <w:tabs>
          <w:tab w:val="left" w:pos="426" w:leader="none"/>
        </w:tabs>
        <w:jc w:val="center"/>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p>
      <w:pPr>
        <w:tabs>
          <w:tab w:val="left" w:pos="426" w:leader="none"/>
        </w:tabs>
        <w:jc w:val="center"/>
        <w:rPr>
          <w:rFonts w:ascii="Arial" w:hAnsi="Arial" w:cs="Arial"/>
          <w:sz w:val="20"/>
          <w:szCs w:val="20"/>
          <w:highlight w:val="white"/>
        </w:rPr>
      </w:pPr>
      <w:r>
        <w:rPr>
          <w:rFonts w:ascii="Arial" w:hAnsi="Arial" w:cs="Arial"/>
          <w:sz w:val="20"/>
          <w:szCs w:val="20"/>
          <w:highlight w:val="white"/>
        </w:rPr>
        <w:t xml:space="preserve">СПЕЦИФИКАЦИЯ</w:t>
      </w:r>
      <w:r>
        <w:rPr>
          <w:rFonts w:ascii="Arial" w:hAnsi="Arial" w:cs="Arial"/>
          <w:sz w:val="20"/>
          <w:szCs w:val="20"/>
          <w:highlight w:val="white"/>
        </w:rPr>
        <w:t xml:space="preserve"> </w:t>
      </w:r>
      <w:r>
        <w:rPr>
          <w:rFonts w:ascii="Arial" w:hAnsi="Arial" w:cs="Arial"/>
          <w:bCs/>
          <w:caps/>
          <w:sz w:val="20"/>
          <w:szCs w:val="20"/>
          <w:highlight w:val="white"/>
        </w:rPr>
        <w:t xml:space="preserve">№</w:t>
      </w:r>
      <w:r>
        <w:rPr>
          <w:rFonts w:ascii="Arial" w:hAnsi="Arial" w:cs="Arial"/>
          <w:sz w:val="20"/>
          <w:szCs w:val="20"/>
          <w:highlight w:val="white"/>
        </w:rPr>
        <w:t xml:space="preserve"> </w:t>
      </w:r>
      <w:r>
        <w:rPr>
          <w:rFonts w:ascii="Arial" w:hAnsi="Arial" w:cs="Arial"/>
          <w:bCs/>
          <w:caps/>
          <w:color w:val="000000" w:themeColor="text1"/>
          <w:sz w:val="20"/>
          <w:szCs w:val="20"/>
          <w:highlight w:val="white"/>
        </w:rPr>
        <w:t xml:space="preserve">1</w:t>
      </w:r>
      <w:r>
        <w:rPr>
          <w:rFonts w:ascii="Arial" w:hAnsi="Arial" w:cs="Arial"/>
          <w:sz w:val="20"/>
          <w:szCs w:val="20"/>
          <w:highlight w:val="white"/>
        </w:rPr>
      </w:r>
      <w:r>
        <w:rPr>
          <w:rFonts w:ascii="Arial" w:hAnsi="Arial" w:cs="Arial"/>
          <w:sz w:val="20"/>
          <w:szCs w:val="20"/>
          <w:highlight w:val="white"/>
        </w:rPr>
      </w:r>
    </w:p>
    <w:p>
      <w:pPr>
        <w:tabs>
          <w:tab w:val="left" w:pos="426" w:leader="none"/>
        </w:tabs>
        <w:jc w:val="center"/>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p>
      <w:pPr>
        <w:pStyle w:val="920"/>
        <w:tabs>
          <w:tab w:val="left" w:pos="426" w:leader="none"/>
        </w:tabs>
        <w:ind w:firstLine="0"/>
        <w:jc w:val="center"/>
        <w:rPr>
          <w:color w:val="000000" w:themeColor="text1"/>
          <w:sz w:val="20"/>
          <w:szCs w:val="20"/>
          <w:highlight w:val="white"/>
        </w:rPr>
      </w:pPr>
      <w:r>
        <w:rPr>
          <w:sz w:val="20"/>
          <w:szCs w:val="20"/>
          <w:highlight w:val="white"/>
        </w:rPr>
        <w:t xml:space="preserve">г. Москва</w:t>
      </w:r>
      <w:r>
        <w:rPr>
          <w:sz w:val="20"/>
          <w:szCs w:val="20"/>
          <w:highlight w:val="white"/>
        </w:rPr>
        <w:tab/>
      </w:r>
      <w:r>
        <w:rPr>
          <w:sz w:val="20"/>
          <w:szCs w:val="20"/>
          <w:highlight w:val="white"/>
        </w:rPr>
        <w:tab/>
      </w:r>
      <w:r>
        <w:rPr>
          <w:sz w:val="20"/>
          <w:szCs w:val="20"/>
          <w:highlight w:val="white"/>
        </w:rPr>
        <w:tab/>
      </w:r>
      <w:r>
        <w:rPr>
          <w:sz w:val="20"/>
          <w:szCs w:val="20"/>
          <w:highlight w:val="white"/>
        </w:rPr>
        <w:tab/>
      </w:r>
      <w:r>
        <w:rPr>
          <w:sz w:val="20"/>
          <w:szCs w:val="20"/>
          <w:highlight w:val="white"/>
        </w:rPr>
        <w:tab/>
      </w:r>
      <w:r>
        <w:rPr>
          <w:sz w:val="20"/>
          <w:szCs w:val="20"/>
          <w:highlight w:val="white"/>
        </w:rPr>
        <w:tab/>
      </w:r>
      <w:r>
        <w:rPr>
          <w:sz w:val="20"/>
          <w:szCs w:val="20"/>
          <w:highlight w:val="white"/>
        </w:rPr>
        <w:tab/>
      </w:r>
      <w:r>
        <w:rPr>
          <w:sz w:val="20"/>
          <w:szCs w:val="20"/>
          <w:highlight w:val="white"/>
        </w:rPr>
        <w:tab/>
      </w:r>
      <w:r>
        <w:rPr>
          <w:sz w:val="20"/>
          <w:szCs w:val="20"/>
          <w:highlight w:val="white"/>
        </w:rPr>
        <w:tab/>
      </w:r>
      <w:r>
        <w:rPr>
          <w:sz w:val="20"/>
          <w:szCs w:val="20"/>
          <w:highlight w:val="white"/>
        </w:rPr>
        <w:tab/>
      </w:r>
      <w:r>
        <w:rPr>
          <w:color w:val="000000" w:themeColor="text1"/>
          <w:sz w:val="20"/>
          <w:szCs w:val="20"/>
          <w:highlight w:val="white"/>
        </w:rPr>
        <w:t xml:space="preserve">___</w:t>
      </w:r>
      <w:r>
        <w:rPr>
          <w:color w:val="000000" w:themeColor="text1"/>
          <w:sz w:val="20"/>
          <w:szCs w:val="20"/>
          <w:highlight w:val="white"/>
        </w:rPr>
        <w:t xml:space="preserve"> </w:t>
      </w:r>
      <w:r>
        <w:rPr>
          <w:color w:val="000000" w:themeColor="text1"/>
          <w:sz w:val="20"/>
          <w:szCs w:val="20"/>
          <w:highlight w:val="white"/>
        </w:rPr>
        <w:t xml:space="preserve">______</w:t>
      </w:r>
      <w:r>
        <w:rPr>
          <w:color w:val="000000" w:themeColor="text1"/>
          <w:sz w:val="20"/>
          <w:szCs w:val="20"/>
          <w:highlight w:val="white"/>
        </w:rPr>
        <w:t xml:space="preserve"> 202</w:t>
      </w:r>
      <w:r>
        <w:rPr>
          <w:color w:val="000000" w:themeColor="text1"/>
          <w:sz w:val="20"/>
          <w:szCs w:val="20"/>
          <w:highlight w:val="white"/>
        </w:rPr>
        <w:t xml:space="preserve">5</w:t>
      </w:r>
      <w:r>
        <w:rPr>
          <w:color w:val="000000" w:themeColor="text1"/>
          <w:sz w:val="20"/>
          <w:szCs w:val="20"/>
          <w:highlight w:val="white"/>
        </w:rPr>
        <w:t xml:space="preserve"> г.</w:t>
      </w:r>
      <w:r>
        <w:rPr>
          <w:color w:val="000000" w:themeColor="text1"/>
          <w:sz w:val="20"/>
          <w:szCs w:val="20"/>
          <w:highlight w:val="white"/>
        </w:rPr>
      </w:r>
      <w:r>
        <w:rPr>
          <w:color w:val="000000" w:themeColor="text1"/>
          <w:sz w:val="20"/>
          <w:szCs w:val="20"/>
          <w:highlight w:val="white"/>
        </w:rPr>
      </w:r>
    </w:p>
    <w:p>
      <w:pPr>
        <w:pStyle w:val="920"/>
        <w:tabs>
          <w:tab w:val="left" w:pos="426" w:leader="none"/>
        </w:tabs>
        <w:ind w:firstLine="0"/>
        <w:jc w:val="center"/>
        <w:rPr>
          <w:color w:val="000000" w:themeColor="text1"/>
          <w:sz w:val="20"/>
          <w:szCs w:val="20"/>
          <w:highlight w:val="white"/>
        </w:rPr>
      </w:pPr>
      <w:r>
        <w:rPr>
          <w:color w:val="000000" w:themeColor="text1"/>
          <w:sz w:val="20"/>
          <w:szCs w:val="20"/>
          <w:highlight w:val="white"/>
        </w:rPr>
      </w:r>
      <w:r>
        <w:rPr>
          <w:color w:val="000000" w:themeColor="text1"/>
          <w:sz w:val="20"/>
          <w:szCs w:val="20"/>
          <w:highlight w:val="white"/>
        </w:rPr>
      </w:r>
      <w:r>
        <w:rPr>
          <w:color w:val="000000" w:themeColor="text1"/>
          <w:sz w:val="20"/>
          <w:szCs w:val="20"/>
          <w:highlight w:val="white"/>
        </w:rPr>
      </w:r>
    </w:p>
    <w:tbl>
      <w:tblPr>
        <w:tblW w:w="10466" w:type="dxa"/>
        <w:jc w:val="center"/>
        <w:tblInd w:w="1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top w:w="0" w:type="dxa"/>
          <w:right w:w="108" w:type="dxa"/>
          <w:bottom w:w="0" w:type="dxa"/>
        </w:tblCellMar>
        <w:tblLook w:val="01E0" w:firstRow="1" w:lastRow="1" w:firstColumn="1" w:lastColumn="1" w:noHBand="0" w:noVBand="0"/>
      </w:tblPr>
      <w:tblGrid>
        <w:gridCol w:w="740"/>
        <w:gridCol w:w="5332"/>
        <w:gridCol w:w="1701"/>
        <w:gridCol w:w="850"/>
        <w:gridCol w:w="1843"/>
      </w:tblGrid>
      <w:tr>
        <w:trPr>
          <w:trHeight w:val="161"/>
        </w:trPr>
        <w:tblPrEx/>
        <w:tc>
          <w:tcPr>
            <w:tcW w:w="740" w:type="dxa"/>
            <w:noWrap w:val="false"/>
            <w:textDirection w:val="lrTb"/>
            <w:vAlign w:val="center"/>
          </w:tcPr>
          <w:p>
            <w:pPr>
              <w:pStyle w:val="909"/>
              <w:ind w:left="108"/>
              <w:contextualSpacing/>
              <w:rPr>
                <w:b/>
                <w:bCs/>
                <w:iCs/>
                <w:sz w:val="20"/>
                <w:szCs w:val="20"/>
                <w:highlight w:val="white"/>
              </w:rPr>
            </w:pPr>
            <w:r>
              <w:rPr>
                <w:b/>
                <w:bCs/>
                <w:iCs/>
                <w:sz w:val="20"/>
                <w:szCs w:val="20"/>
                <w:highlight w:val="white"/>
              </w:rPr>
              <w:t xml:space="preserve">№ п/п</w:t>
            </w:r>
            <w:r>
              <w:rPr>
                <w:b/>
                <w:bCs/>
                <w:iCs/>
                <w:sz w:val="20"/>
                <w:szCs w:val="20"/>
                <w:highlight w:val="white"/>
              </w:rPr>
            </w:r>
            <w:r>
              <w:rPr>
                <w:b/>
                <w:bCs/>
                <w:iCs/>
                <w:sz w:val="20"/>
                <w:szCs w:val="20"/>
                <w:highlight w:val="white"/>
              </w:rPr>
            </w:r>
          </w:p>
        </w:tc>
        <w:tc>
          <w:tcPr>
            <w:tcW w:w="5332" w:type="dxa"/>
            <w:noWrap w:val="false"/>
            <w:textDirection w:val="lrTb"/>
            <w:vAlign w:val="center"/>
          </w:tcPr>
          <w:p>
            <w:pPr>
              <w:pStyle w:val="909"/>
              <w:ind w:left="108"/>
              <w:contextualSpacing/>
              <w:jc w:val="center"/>
              <w:rPr>
                <w:sz w:val="20"/>
                <w:szCs w:val="20"/>
                <w:highlight w:val="white"/>
              </w:rPr>
            </w:pPr>
            <w:r>
              <w:rPr>
                <w:b/>
                <w:sz w:val="20"/>
                <w:szCs w:val="20"/>
                <w:highlight w:val="white"/>
              </w:rPr>
              <w:t xml:space="preserve">Наименование Системы</w:t>
            </w:r>
            <w:r>
              <w:rPr>
                <w:sz w:val="20"/>
                <w:szCs w:val="20"/>
                <w:highlight w:val="white"/>
              </w:rPr>
            </w:r>
            <w:r>
              <w:rPr>
                <w:sz w:val="20"/>
                <w:szCs w:val="20"/>
                <w:highlight w:val="white"/>
              </w:rPr>
            </w:r>
          </w:p>
        </w:tc>
        <w:tc>
          <w:tcPr>
            <w:tcW w:w="1701" w:type="dxa"/>
            <w:noWrap w:val="false"/>
            <w:textDirection w:val="lrTb"/>
            <w:vAlign w:val="center"/>
          </w:tcPr>
          <w:p>
            <w:pPr>
              <w:pStyle w:val="909"/>
              <w:ind w:left="108"/>
              <w:contextualSpacing/>
              <w:jc w:val="center"/>
              <w:rPr>
                <w:b/>
                <w:sz w:val="20"/>
                <w:szCs w:val="20"/>
                <w:highlight w:val="white"/>
              </w:rPr>
            </w:pPr>
            <w:r>
              <w:rPr>
                <w:b/>
                <w:sz w:val="20"/>
                <w:szCs w:val="20"/>
                <w:highlight w:val="white"/>
              </w:rPr>
              <w:t xml:space="preserve">Версия Системы</w:t>
            </w:r>
            <w:r>
              <w:rPr>
                <w:b/>
                <w:sz w:val="20"/>
                <w:szCs w:val="20"/>
                <w:highlight w:val="white"/>
              </w:rPr>
            </w:r>
            <w:r>
              <w:rPr>
                <w:b/>
                <w:sz w:val="20"/>
                <w:szCs w:val="20"/>
                <w:highlight w:val="white"/>
              </w:rPr>
            </w:r>
          </w:p>
        </w:tc>
        <w:tc>
          <w:tcPr>
            <w:tcW w:w="850" w:type="dxa"/>
            <w:noWrap w:val="false"/>
            <w:textDirection w:val="lrTb"/>
            <w:vAlign w:val="center"/>
          </w:tcPr>
          <w:p>
            <w:pPr>
              <w:pStyle w:val="909"/>
              <w:ind w:left="108"/>
              <w:contextualSpacing/>
              <w:jc w:val="center"/>
              <w:rPr>
                <w:b/>
                <w:sz w:val="20"/>
                <w:szCs w:val="20"/>
                <w:highlight w:val="white"/>
              </w:rPr>
            </w:pPr>
            <w:r>
              <w:rPr>
                <w:b/>
                <w:sz w:val="20"/>
                <w:szCs w:val="20"/>
                <w:highlight w:val="white"/>
              </w:rPr>
              <w:t xml:space="preserve">Кол-во шт</w:t>
            </w:r>
            <w:r>
              <w:rPr>
                <w:b/>
                <w:sz w:val="20"/>
                <w:szCs w:val="20"/>
                <w:highlight w:val="white"/>
              </w:rPr>
            </w:r>
            <w:r>
              <w:rPr>
                <w:b/>
                <w:sz w:val="20"/>
                <w:szCs w:val="20"/>
                <w:highlight w:val="white"/>
              </w:rPr>
            </w:r>
          </w:p>
        </w:tc>
        <w:tc>
          <w:tcPr>
            <w:tcW w:w="1843" w:type="dxa"/>
            <w:noWrap w:val="false"/>
            <w:textDirection w:val="lrTb"/>
            <w:vAlign w:val="top"/>
          </w:tcPr>
          <w:p>
            <w:pPr>
              <w:pStyle w:val="909"/>
              <w:ind w:left="108"/>
              <w:contextualSpacing/>
              <w:jc w:val="center"/>
              <w:rPr>
                <w:b/>
                <w:sz w:val="20"/>
                <w:szCs w:val="20"/>
                <w:highlight w:val="white"/>
              </w:rPr>
            </w:pPr>
            <w:r>
              <w:rPr>
                <w:b/>
                <w:sz w:val="20"/>
                <w:szCs w:val="20"/>
                <w:highlight w:val="white"/>
              </w:rPr>
              <w:t xml:space="preserve">Сумма в месяц, без НДС</w:t>
            </w:r>
            <w:r>
              <w:rPr>
                <w:b/>
                <w:sz w:val="20"/>
                <w:szCs w:val="20"/>
                <w:highlight w:val="white"/>
              </w:rPr>
            </w:r>
            <w:r>
              <w:rPr>
                <w:b/>
                <w:sz w:val="20"/>
                <w:szCs w:val="20"/>
                <w:highlight w:val="white"/>
              </w:rPr>
            </w:r>
          </w:p>
        </w:tc>
      </w:tr>
      <w:tr>
        <w:trPr>
          <w:trHeight w:val="70"/>
        </w:trPr>
        <w:tblPrEx/>
        <w:tc>
          <w:tcPr>
            <w:tcW w:w="740" w:type="dxa"/>
            <w:noWrap w:val="false"/>
            <w:textDirection w:val="lrTb"/>
            <w:vAlign w:val="center"/>
          </w:tcPr>
          <w:p>
            <w:pPr>
              <w:pStyle w:val="909"/>
              <w:contextualSpacing/>
              <w:jc w:val="center"/>
              <w:rPr>
                <w:sz w:val="20"/>
                <w:szCs w:val="20"/>
                <w:highlight w:val="white"/>
              </w:rPr>
            </w:pPr>
            <w:r>
              <w:rPr>
                <w:sz w:val="20"/>
                <w:szCs w:val="20"/>
                <w:highlight w:val="white"/>
              </w:rPr>
              <w:t xml:space="preserve">1.</w:t>
            </w:r>
            <w:r>
              <w:rPr>
                <w:sz w:val="20"/>
                <w:szCs w:val="20"/>
                <w:highlight w:val="white"/>
              </w:rPr>
            </w:r>
            <w:r>
              <w:rPr>
                <w:sz w:val="20"/>
                <w:szCs w:val="20"/>
                <w:highlight w:val="white"/>
              </w:rPr>
            </w:r>
          </w:p>
        </w:tc>
        <w:tc>
          <w:tcPr>
            <w:tcW w:w="5332" w:type="dxa"/>
            <w:noWrap w:val="false"/>
            <w:textDirection w:val="lrTb"/>
            <w:vAlign w:val="center"/>
          </w:tcPr>
          <w:p>
            <w:pPr>
              <w:rPr>
                <w:rFonts w:ascii="Arial" w:hAnsi="Arial" w:cs="Arial"/>
                <w:sz w:val="20"/>
                <w:szCs w:val="20"/>
                <w:highlight w:val="white"/>
              </w:rPr>
            </w:pPr>
            <w:r>
              <w:rPr>
                <w:rFonts w:ascii="Arial" w:hAnsi="Arial" w:cs="Arial"/>
                <w:sz w:val="20"/>
                <w:szCs w:val="20"/>
                <w:highlight w:val="white"/>
              </w:rPr>
              <w:t xml:space="preserve">СПС Консультант Бизнес: Версия Проф</w:t>
            </w:r>
            <w:r>
              <w:rPr>
                <w:rFonts w:ascii="Arial" w:hAnsi="Arial" w:cs="Arial"/>
                <w:sz w:val="20"/>
                <w:szCs w:val="20"/>
                <w:highlight w:val="white"/>
              </w:rPr>
            </w:r>
            <w:r>
              <w:rPr>
                <w:rFonts w:ascii="Arial" w:hAnsi="Arial" w:cs="Arial"/>
                <w:sz w:val="20"/>
                <w:szCs w:val="20"/>
                <w:highlight w:val="white"/>
              </w:rPr>
            </w:r>
          </w:p>
        </w:tc>
        <w:tc>
          <w:tcPr>
            <w:tcW w:w="1701" w:type="dxa"/>
            <w:noWrap w:val="false"/>
            <w:textDirection w:val="lrTb"/>
            <w:vAlign w:val="center"/>
          </w:tcPr>
          <w:p>
            <w:pPr>
              <w:pStyle w:val="909"/>
              <w:contextualSpacing/>
              <w:jc w:val="center"/>
              <w:rPr>
                <w:b w:val="0"/>
                <w:bCs w:val="0"/>
                <w:sz w:val="20"/>
                <w:szCs w:val="20"/>
                <w:highlight w:val="white"/>
              </w:rPr>
            </w:pPr>
            <w:r>
              <w:rPr>
                <w:b w:val="0"/>
                <w:bCs w:val="0"/>
                <w:sz w:val="20"/>
                <w:szCs w:val="20"/>
                <w:highlight w:val="white"/>
              </w:rPr>
            </w:r>
            <w:r>
              <w:rPr>
                <w:rFonts w:ascii="Arial" w:hAnsi="Arial" w:cs="Arial"/>
                <w:b w:val="0"/>
                <w:bCs w:val="0"/>
                <w:sz w:val="20"/>
                <w:szCs w:val="20"/>
                <w:highlight w:val="white"/>
              </w:rPr>
              <w:t xml:space="preserve">ОВМ10</w:t>
            </w:r>
            <w:r>
              <w:rPr>
                <w:b w:val="0"/>
                <w:bCs w:val="0"/>
                <w:sz w:val="20"/>
                <w:szCs w:val="20"/>
                <w:highlight w:val="white"/>
              </w:rPr>
            </w:r>
            <w:r>
              <w:rPr>
                <w:b w:val="0"/>
                <w:bCs w:val="0"/>
                <w:sz w:val="20"/>
                <w:szCs w:val="20"/>
                <w:highlight w:val="white"/>
              </w:rPr>
            </w:r>
          </w:p>
        </w:tc>
        <w:tc>
          <w:tcPr>
            <w:tcW w:w="850" w:type="dxa"/>
            <w:noWrap w:val="false"/>
            <w:textDirection w:val="lrTb"/>
            <w:vAlign w:val="center"/>
          </w:tcPr>
          <w:p>
            <w:pPr>
              <w:pStyle w:val="909"/>
              <w:ind w:left="-38" w:hanging="1"/>
              <w:contextualSpacing/>
              <w:jc w:val="center"/>
              <w:rPr>
                <w:sz w:val="20"/>
                <w:szCs w:val="20"/>
                <w:highlight w:val="white"/>
              </w:rPr>
            </w:pPr>
            <w:r>
              <w:rPr>
                <w:sz w:val="20"/>
                <w:szCs w:val="20"/>
                <w:highlight w:val="white"/>
              </w:rPr>
              <w:t xml:space="preserve">2</w:t>
            </w:r>
            <w:r>
              <w:rPr>
                <w:sz w:val="20"/>
                <w:szCs w:val="20"/>
                <w:highlight w:val="white"/>
              </w:rPr>
            </w:r>
            <w:r>
              <w:rPr>
                <w:sz w:val="20"/>
                <w:szCs w:val="20"/>
                <w:highlight w:val="white"/>
              </w:rPr>
            </w:r>
          </w:p>
        </w:tc>
        <w:tc>
          <w:tcPr>
            <w:tcW w:w="1843" w:type="dxa"/>
            <w:noWrap w:val="false"/>
            <w:textDirection w:val="lrTb"/>
            <w:vAlign w:val="top"/>
          </w:tcPr>
          <w:p>
            <w:pPr>
              <w:pStyle w:val="909"/>
              <w:ind w:left="-50"/>
              <w:contextualSpacing/>
              <w:jc w:val="center"/>
              <w:rPr>
                <w:sz w:val="20"/>
                <w:szCs w:val="20"/>
                <w:highlight w:val="white"/>
              </w:rPr>
            </w:pPr>
            <w:r>
              <w:rPr>
                <w:sz w:val="20"/>
                <w:szCs w:val="20"/>
                <w:highlight w:val="white"/>
              </w:rPr>
            </w:r>
            <w:r>
              <w:rPr>
                <w:sz w:val="20"/>
                <w:szCs w:val="20"/>
                <w:highlight w:val="white"/>
              </w:rPr>
            </w:r>
            <w:r>
              <w:rPr>
                <w:sz w:val="20"/>
                <w:szCs w:val="20"/>
                <w:highlight w:val="white"/>
              </w:rPr>
            </w:r>
          </w:p>
        </w:tc>
      </w:tr>
      <w:tr>
        <w:trPr>
          <w:trHeight w:val="283"/>
        </w:trPr>
        <w:tblPrEx/>
        <w:tc>
          <w:tcPr>
            <w:tcW w:w="740" w:type="dxa"/>
            <w:noWrap w:val="false"/>
            <w:textDirection w:val="lrTb"/>
            <w:vAlign w:val="center"/>
          </w:tcPr>
          <w:p>
            <w:pPr>
              <w:pStyle w:val="909"/>
              <w:contextualSpacing/>
              <w:jc w:val="center"/>
              <w:rPr>
                <w:sz w:val="20"/>
                <w:szCs w:val="20"/>
                <w:highlight w:val="white"/>
              </w:rPr>
            </w:pPr>
            <w:r>
              <w:rPr>
                <w:sz w:val="20"/>
                <w:szCs w:val="20"/>
                <w:highlight w:val="white"/>
              </w:rPr>
              <w:t xml:space="preserve">2.</w:t>
            </w:r>
            <w:r>
              <w:rPr>
                <w:sz w:val="20"/>
                <w:szCs w:val="20"/>
                <w:highlight w:val="white"/>
              </w:rPr>
            </w:r>
            <w:r>
              <w:rPr>
                <w:sz w:val="20"/>
                <w:szCs w:val="20"/>
                <w:highlight w:val="white"/>
              </w:rPr>
            </w:r>
          </w:p>
        </w:tc>
        <w:tc>
          <w:tcPr>
            <w:tcW w:w="5332" w:type="dxa"/>
            <w:noWrap w:val="false"/>
            <w:textDirection w:val="lrTb"/>
            <w:vAlign w:val="center"/>
          </w:tcPr>
          <w:p>
            <w:pPr>
              <w:rPr>
                <w:rFonts w:ascii="Arial" w:hAnsi="Arial" w:cs="Arial"/>
                <w:sz w:val="20"/>
                <w:szCs w:val="20"/>
                <w:highlight w:val="white"/>
              </w:rPr>
            </w:pPr>
            <w:r>
              <w:rPr>
                <w:rFonts w:ascii="Arial" w:hAnsi="Arial" w:cs="Arial"/>
                <w:sz w:val="20"/>
                <w:szCs w:val="20"/>
                <w:highlight w:val="white"/>
              </w:rPr>
              <w:t xml:space="preserve">СПС КонсультантПлюс: Эксперт-приложение</w:t>
            </w:r>
            <w:r>
              <w:rPr>
                <w:rFonts w:ascii="Arial" w:hAnsi="Arial" w:cs="Arial"/>
                <w:sz w:val="20"/>
                <w:szCs w:val="20"/>
                <w:highlight w:val="white"/>
              </w:rPr>
            </w:r>
            <w:r>
              <w:rPr>
                <w:rFonts w:ascii="Arial" w:hAnsi="Arial" w:cs="Arial"/>
                <w:sz w:val="20"/>
                <w:szCs w:val="20"/>
                <w:highlight w:val="white"/>
              </w:rPr>
            </w:r>
          </w:p>
        </w:tc>
        <w:tc>
          <w:tcPr>
            <w:tcW w:w="1701" w:type="dxa"/>
            <w:noWrap w:val="false"/>
            <w:textDirection w:val="lrTb"/>
            <w:vAlign w:val="center"/>
          </w:tcPr>
          <w:p>
            <w:pPr>
              <w:jc w:val="center"/>
              <w:rPr>
                <w:b w:val="0"/>
                <w:bCs w:val="0"/>
                <w:sz w:val="20"/>
                <w:szCs w:val="20"/>
                <w:highlight w:val="white"/>
              </w:rPr>
            </w:pPr>
            <w:r>
              <w:rPr>
                <w:b w:val="0"/>
                <w:bCs w:val="0"/>
                <w:sz w:val="20"/>
                <w:szCs w:val="20"/>
                <w:highlight w:val="white"/>
              </w:rPr>
            </w:r>
            <w:r>
              <w:rPr>
                <w:rFonts w:ascii="Arial" w:hAnsi="Arial" w:cs="Arial"/>
                <w:b w:val="0"/>
                <w:bCs w:val="0"/>
                <w:sz w:val="20"/>
                <w:szCs w:val="20"/>
                <w:highlight w:val="white"/>
              </w:rPr>
              <w:t xml:space="preserve">ОВМ10</w:t>
            </w:r>
            <w:r>
              <w:rPr>
                <w:b w:val="0"/>
                <w:bCs w:val="0"/>
                <w:sz w:val="20"/>
                <w:szCs w:val="20"/>
                <w:highlight w:val="white"/>
              </w:rPr>
            </w:r>
            <w:r>
              <w:rPr>
                <w:b w:val="0"/>
                <w:bCs w:val="0"/>
                <w:sz w:val="20"/>
                <w:szCs w:val="20"/>
                <w:highlight w:val="white"/>
              </w:rPr>
            </w:r>
          </w:p>
        </w:tc>
        <w:tc>
          <w:tcPr>
            <w:tcW w:w="850" w:type="dxa"/>
            <w:noWrap w:val="false"/>
            <w:textDirection w:val="lrTb"/>
            <w:vAlign w:val="center"/>
          </w:tcPr>
          <w:p>
            <w:pPr>
              <w:jc w:val="center"/>
              <w:rPr>
                <w:sz w:val="20"/>
                <w:szCs w:val="20"/>
                <w:highlight w:val="white"/>
              </w:rPr>
            </w:pPr>
            <w:r>
              <w:rPr>
                <w:sz w:val="20"/>
                <w:szCs w:val="20"/>
                <w:highlight w:val="white"/>
              </w:rPr>
            </w:r>
            <w:r>
              <w:rPr>
                <w:sz w:val="20"/>
                <w:szCs w:val="20"/>
                <w:highlight w:val="white"/>
              </w:rPr>
              <w:t xml:space="preserve">2</w:t>
            </w:r>
            <w:r>
              <w:rPr>
                <w:sz w:val="20"/>
                <w:szCs w:val="20"/>
                <w:highlight w:val="white"/>
              </w:rPr>
            </w:r>
            <w:r>
              <w:rPr>
                <w:sz w:val="20"/>
                <w:szCs w:val="20"/>
                <w:highlight w:val="white"/>
              </w:rPr>
            </w:r>
          </w:p>
        </w:tc>
        <w:tc>
          <w:tcPr>
            <w:tcW w:w="1843" w:type="dxa"/>
            <w:noWrap w:val="false"/>
            <w:textDirection w:val="lrTb"/>
            <w:vAlign w:val="top"/>
          </w:tcPr>
          <w:p>
            <w:pPr>
              <w:pStyle w:val="909"/>
              <w:ind w:left="-50"/>
              <w:contextualSpacing/>
              <w:jc w:val="center"/>
              <w:rPr>
                <w:sz w:val="20"/>
                <w:szCs w:val="20"/>
                <w:highlight w:val="white"/>
              </w:rPr>
            </w:pPr>
            <w:r>
              <w:rPr>
                <w:sz w:val="20"/>
                <w:szCs w:val="20"/>
                <w:highlight w:val="white"/>
              </w:rPr>
            </w:r>
            <w:r>
              <w:rPr>
                <w:sz w:val="20"/>
                <w:szCs w:val="20"/>
                <w:highlight w:val="white"/>
              </w:rPr>
            </w:r>
            <w:r>
              <w:rPr>
                <w:sz w:val="20"/>
                <w:szCs w:val="20"/>
                <w:highlight w:val="white"/>
              </w:rPr>
            </w:r>
          </w:p>
        </w:tc>
      </w:tr>
      <w:tr>
        <w:trPr>
          <w:trHeight w:val="283"/>
        </w:trPr>
        <w:tblPrEx/>
        <w:tc>
          <w:tcPr>
            <w:tcW w:w="740" w:type="dxa"/>
            <w:noWrap w:val="false"/>
            <w:textDirection w:val="lrTb"/>
            <w:vAlign w:val="center"/>
          </w:tcPr>
          <w:p>
            <w:pPr>
              <w:pStyle w:val="909"/>
              <w:contextualSpacing/>
              <w:jc w:val="center"/>
              <w:rPr>
                <w:sz w:val="20"/>
                <w:szCs w:val="20"/>
                <w:highlight w:val="white"/>
              </w:rPr>
            </w:pPr>
            <w:r>
              <w:rPr>
                <w:sz w:val="20"/>
                <w:szCs w:val="20"/>
                <w:highlight w:val="white"/>
              </w:rPr>
              <w:t xml:space="preserve">3.</w:t>
            </w:r>
            <w:r>
              <w:rPr>
                <w:sz w:val="20"/>
                <w:szCs w:val="20"/>
                <w:highlight w:val="white"/>
              </w:rPr>
            </w:r>
            <w:r>
              <w:rPr>
                <w:sz w:val="20"/>
                <w:szCs w:val="20"/>
                <w:highlight w:val="white"/>
              </w:rPr>
            </w:r>
          </w:p>
        </w:tc>
        <w:tc>
          <w:tcPr>
            <w:tcW w:w="5332" w:type="dxa"/>
            <w:noWrap w:val="false"/>
            <w:textDirection w:val="lrTb"/>
            <w:vAlign w:val="center"/>
          </w:tcPr>
          <w:p>
            <w:pPr>
              <w:rPr>
                <w:rFonts w:ascii="Arial" w:hAnsi="Arial" w:cs="Arial"/>
                <w:sz w:val="20"/>
                <w:szCs w:val="20"/>
                <w:highlight w:val="white"/>
              </w:rPr>
            </w:pPr>
            <w:r>
              <w:rPr>
                <w:rFonts w:ascii="Arial" w:hAnsi="Arial" w:cs="Arial"/>
                <w:sz w:val="20"/>
                <w:szCs w:val="20"/>
                <w:highlight w:val="white"/>
              </w:rPr>
              <w:t xml:space="preserve">СС КонсультантПлюс: Проекты правовых актов</w:t>
            </w:r>
            <w:r>
              <w:rPr>
                <w:rFonts w:ascii="Arial" w:hAnsi="Arial" w:cs="Arial"/>
                <w:sz w:val="20"/>
                <w:szCs w:val="20"/>
                <w:highlight w:val="white"/>
              </w:rPr>
            </w:r>
            <w:r>
              <w:rPr>
                <w:rFonts w:ascii="Arial" w:hAnsi="Arial" w:cs="Arial"/>
                <w:sz w:val="20"/>
                <w:szCs w:val="20"/>
                <w:highlight w:val="white"/>
              </w:rPr>
            </w:r>
          </w:p>
        </w:tc>
        <w:tc>
          <w:tcPr>
            <w:tcW w:w="1701" w:type="dxa"/>
            <w:noWrap w:val="false"/>
            <w:textDirection w:val="lrTb"/>
            <w:vAlign w:val="center"/>
          </w:tcPr>
          <w:p>
            <w:pPr>
              <w:jc w:val="center"/>
              <w:rPr>
                <w:b w:val="0"/>
                <w:bCs w:val="0"/>
                <w:sz w:val="20"/>
                <w:szCs w:val="20"/>
                <w:highlight w:val="white"/>
              </w:rPr>
            </w:pPr>
            <w:r>
              <w:rPr>
                <w:b w:val="0"/>
                <w:bCs w:val="0"/>
                <w:sz w:val="20"/>
                <w:szCs w:val="20"/>
                <w:highlight w:val="white"/>
              </w:rPr>
            </w:r>
            <w:r>
              <w:rPr>
                <w:rFonts w:ascii="Arial" w:hAnsi="Arial" w:cs="Arial"/>
                <w:b w:val="0"/>
                <w:bCs w:val="0"/>
                <w:sz w:val="20"/>
                <w:szCs w:val="20"/>
                <w:highlight w:val="white"/>
              </w:rPr>
              <w:t xml:space="preserve">ОВМ10</w:t>
            </w:r>
            <w:r>
              <w:rPr>
                <w:b w:val="0"/>
                <w:bCs w:val="0"/>
                <w:sz w:val="20"/>
                <w:szCs w:val="20"/>
                <w:highlight w:val="white"/>
              </w:rPr>
            </w:r>
            <w:r>
              <w:rPr>
                <w:b w:val="0"/>
                <w:bCs w:val="0"/>
                <w:sz w:val="20"/>
                <w:szCs w:val="20"/>
                <w:highlight w:val="white"/>
              </w:rPr>
            </w:r>
          </w:p>
        </w:tc>
        <w:tc>
          <w:tcPr>
            <w:tcW w:w="850" w:type="dxa"/>
            <w:noWrap w:val="false"/>
            <w:textDirection w:val="lrTb"/>
            <w:vAlign w:val="center"/>
          </w:tcPr>
          <w:p>
            <w:pPr>
              <w:jc w:val="center"/>
              <w:rPr>
                <w:sz w:val="20"/>
                <w:szCs w:val="20"/>
                <w:highlight w:val="white"/>
              </w:rPr>
            </w:pPr>
            <w:r>
              <w:rPr>
                <w:sz w:val="20"/>
                <w:szCs w:val="20"/>
                <w:highlight w:val="white"/>
              </w:rPr>
            </w:r>
            <w:r>
              <w:rPr>
                <w:sz w:val="20"/>
                <w:szCs w:val="20"/>
                <w:highlight w:val="white"/>
              </w:rPr>
              <w:t xml:space="preserve">1</w:t>
            </w:r>
            <w:r>
              <w:rPr>
                <w:sz w:val="20"/>
                <w:szCs w:val="20"/>
                <w:highlight w:val="white"/>
              </w:rPr>
            </w:r>
            <w:r>
              <w:rPr>
                <w:sz w:val="20"/>
                <w:szCs w:val="20"/>
                <w:highlight w:val="white"/>
              </w:rPr>
            </w:r>
          </w:p>
        </w:tc>
        <w:tc>
          <w:tcPr>
            <w:tcW w:w="1843" w:type="dxa"/>
            <w:noWrap w:val="false"/>
            <w:textDirection w:val="lrTb"/>
            <w:vAlign w:val="top"/>
          </w:tcPr>
          <w:p>
            <w:pPr>
              <w:pStyle w:val="909"/>
              <w:ind w:left="-50"/>
              <w:contextualSpacing/>
              <w:jc w:val="center"/>
              <w:rPr>
                <w:sz w:val="20"/>
                <w:szCs w:val="20"/>
                <w:highlight w:val="white"/>
              </w:rPr>
            </w:pPr>
            <w:r>
              <w:rPr>
                <w:sz w:val="20"/>
                <w:szCs w:val="20"/>
                <w:highlight w:val="white"/>
              </w:rPr>
            </w:r>
            <w:r>
              <w:rPr>
                <w:sz w:val="20"/>
                <w:szCs w:val="20"/>
                <w:highlight w:val="white"/>
              </w:rPr>
            </w:r>
            <w:r>
              <w:rPr>
                <w:sz w:val="20"/>
                <w:szCs w:val="20"/>
                <w:highlight w:val="white"/>
              </w:rPr>
            </w:r>
          </w:p>
        </w:tc>
      </w:tr>
      <w:tr>
        <w:trPr>
          <w:trHeight w:val="283"/>
        </w:trPr>
        <w:tblPrEx/>
        <w:tc>
          <w:tcPr>
            <w:tcW w:w="740" w:type="dxa"/>
            <w:vMerge w:val="restart"/>
            <w:noWrap w:val="false"/>
            <w:textDirection w:val="lrTb"/>
            <w:vAlign w:val="center"/>
          </w:tcPr>
          <w:p>
            <w:pPr>
              <w:pStyle w:val="909"/>
              <w:contextualSpacing/>
              <w:jc w:val="center"/>
              <w:rPr>
                <w:sz w:val="20"/>
                <w:szCs w:val="20"/>
                <w:highlight w:val="white"/>
              </w:rPr>
            </w:pPr>
            <w:r>
              <w:rPr>
                <w:sz w:val="20"/>
                <w:szCs w:val="20"/>
                <w:highlight w:val="white"/>
              </w:rPr>
              <w:t xml:space="preserve">4..</w:t>
            </w:r>
            <w:r>
              <w:rPr>
                <w:sz w:val="20"/>
                <w:szCs w:val="20"/>
                <w:highlight w:val="white"/>
              </w:rPr>
            </w:r>
            <w:r>
              <w:rPr>
                <w:sz w:val="20"/>
                <w:szCs w:val="20"/>
                <w:highlight w:val="white"/>
              </w:rPr>
            </w:r>
          </w:p>
        </w:tc>
        <w:tc>
          <w:tcPr>
            <w:tcW w:w="5332" w:type="dxa"/>
            <w:vMerge w:val="restart"/>
            <w:noWrap w:val="false"/>
            <w:textDirection w:val="lrTb"/>
            <w:vAlign w:val="center"/>
          </w:tcPr>
          <w:p>
            <w:pPr>
              <w:rPr>
                <w:rFonts w:ascii="Arial" w:hAnsi="Arial" w:eastAsia="Arial"/>
                <w:color w:val="000000"/>
                <w:sz w:val="20"/>
                <w:szCs w:val="20"/>
                <w:highlight w:val="white"/>
              </w:rPr>
            </w:pPr>
            <w:r>
              <w:rPr>
                <w:rFonts w:ascii="Arial" w:hAnsi="Arial" w:eastAsia="Arial"/>
                <w:color w:val="000000"/>
                <w:sz w:val="20"/>
                <w:szCs w:val="20"/>
                <w:highlight w:val="white"/>
              </w:rPr>
              <w:t xml:space="preserve">СПС КонсультантПлюс: Международное право</w:t>
            </w:r>
            <w:r>
              <w:rPr>
                <w:rFonts w:ascii="Arial" w:hAnsi="Arial" w:eastAsia="Arial"/>
                <w:color w:val="000000"/>
                <w:sz w:val="20"/>
                <w:szCs w:val="20"/>
                <w:highlight w:val="white"/>
              </w:rPr>
            </w:r>
            <w:r>
              <w:rPr>
                <w:rFonts w:ascii="Arial" w:hAnsi="Arial" w:eastAsia="Arial"/>
                <w:color w:val="000000"/>
                <w:sz w:val="20"/>
                <w:szCs w:val="20"/>
                <w:highlight w:val="white"/>
              </w:rPr>
            </w:r>
          </w:p>
        </w:tc>
        <w:tc>
          <w:tcPr>
            <w:tcW w:w="1701" w:type="dxa"/>
            <w:vMerge w:val="restart"/>
            <w:noWrap w:val="false"/>
            <w:textDirection w:val="lrTb"/>
            <w:vAlign w:val="center"/>
          </w:tcPr>
          <w:p>
            <w:pPr>
              <w:jc w:val="center"/>
              <w:rPr>
                <w:b w:val="0"/>
                <w:bCs w:val="0"/>
                <w:sz w:val="20"/>
                <w:szCs w:val="20"/>
                <w:highlight w:val="white"/>
              </w:rPr>
            </w:pPr>
            <w:r>
              <w:rPr>
                <w:b w:val="0"/>
                <w:bCs w:val="0"/>
                <w:sz w:val="20"/>
                <w:szCs w:val="20"/>
                <w:highlight w:val="white"/>
              </w:rPr>
            </w:r>
            <w:r>
              <w:rPr>
                <w:rFonts w:ascii="Arial" w:hAnsi="Arial" w:cs="Arial"/>
                <w:b w:val="0"/>
                <w:bCs w:val="0"/>
                <w:sz w:val="20"/>
                <w:szCs w:val="20"/>
                <w:highlight w:val="white"/>
              </w:rPr>
              <w:t xml:space="preserve">ОВМ10</w:t>
            </w:r>
            <w:r>
              <w:rPr>
                <w:b w:val="0"/>
                <w:bCs w:val="0"/>
                <w:sz w:val="20"/>
                <w:szCs w:val="20"/>
                <w:highlight w:val="white"/>
              </w:rPr>
            </w:r>
            <w:r>
              <w:rPr>
                <w:b w:val="0"/>
                <w:bCs w:val="0"/>
                <w:sz w:val="20"/>
                <w:szCs w:val="20"/>
                <w:highlight w:val="white"/>
              </w:rPr>
            </w:r>
          </w:p>
        </w:tc>
        <w:tc>
          <w:tcPr>
            <w:tcW w:w="850" w:type="dxa"/>
            <w:vMerge w:val="restart"/>
            <w:noWrap w:val="false"/>
            <w:textDirection w:val="lrTb"/>
            <w:vAlign w:val="center"/>
          </w:tcPr>
          <w:p>
            <w:pPr>
              <w:jc w:val="center"/>
              <w:rPr>
                <w:sz w:val="20"/>
                <w:szCs w:val="20"/>
                <w:highlight w:val="white"/>
              </w:rPr>
            </w:pPr>
            <w:r>
              <w:rPr>
                <w:sz w:val="20"/>
                <w:szCs w:val="20"/>
                <w:highlight w:val="white"/>
              </w:rPr>
              <w:t xml:space="preserve">2</w:t>
            </w:r>
            <w:r>
              <w:rPr>
                <w:sz w:val="20"/>
                <w:szCs w:val="20"/>
                <w:highlight w:val="white"/>
              </w:rPr>
            </w:r>
            <w:r>
              <w:rPr>
                <w:sz w:val="20"/>
                <w:szCs w:val="20"/>
                <w:highlight w:val="white"/>
              </w:rPr>
            </w:r>
          </w:p>
        </w:tc>
        <w:tc>
          <w:tcPr>
            <w:tcW w:w="1843" w:type="dxa"/>
            <w:vMerge w:val="restart"/>
            <w:noWrap w:val="false"/>
            <w:textDirection w:val="lrTb"/>
            <w:vAlign w:val="top"/>
          </w:tcPr>
          <w:p>
            <w:pPr>
              <w:pStyle w:val="909"/>
              <w:ind w:left="-50"/>
              <w:contextualSpacing/>
              <w:jc w:val="center"/>
              <w:rPr>
                <w:sz w:val="20"/>
                <w:szCs w:val="20"/>
                <w:highlight w:val="white"/>
              </w:rPr>
            </w:pPr>
            <w:r>
              <w:rPr>
                <w:sz w:val="20"/>
                <w:szCs w:val="20"/>
                <w:highlight w:val="white"/>
              </w:rPr>
            </w:r>
            <w:r>
              <w:rPr>
                <w:sz w:val="20"/>
                <w:szCs w:val="20"/>
                <w:highlight w:val="white"/>
              </w:rPr>
            </w:r>
            <w:r>
              <w:rPr>
                <w:sz w:val="20"/>
                <w:szCs w:val="20"/>
                <w:highlight w:val="white"/>
              </w:rPr>
            </w:r>
          </w:p>
        </w:tc>
      </w:tr>
      <w:tr>
        <w:trPr>
          <w:trHeight w:val="283"/>
        </w:trPr>
        <w:tblPrEx/>
        <w:tc>
          <w:tcPr>
            <w:tcW w:w="740" w:type="dxa"/>
            <w:vMerge w:val="restart"/>
            <w:noWrap w:val="false"/>
            <w:textDirection w:val="lrTb"/>
            <w:vAlign w:val="center"/>
          </w:tcPr>
          <w:p>
            <w:pPr>
              <w:pStyle w:val="909"/>
              <w:contextualSpacing/>
              <w:jc w:val="center"/>
              <w:rPr>
                <w:sz w:val="20"/>
                <w:szCs w:val="20"/>
                <w:highlight w:val="white"/>
              </w:rPr>
            </w:pPr>
            <w:r>
              <w:rPr>
                <w:sz w:val="20"/>
                <w:szCs w:val="20"/>
                <w:highlight w:val="white"/>
              </w:rPr>
              <w:t xml:space="preserve">5.</w:t>
            </w:r>
            <w:r>
              <w:rPr>
                <w:sz w:val="20"/>
                <w:szCs w:val="20"/>
                <w:highlight w:val="white"/>
              </w:rPr>
            </w:r>
            <w:r>
              <w:rPr>
                <w:sz w:val="20"/>
                <w:szCs w:val="20"/>
                <w:highlight w:val="white"/>
              </w:rPr>
            </w:r>
          </w:p>
        </w:tc>
        <w:tc>
          <w:tcPr>
            <w:tcW w:w="5332" w:type="dxa"/>
            <w:vMerge w:val="restart"/>
            <w:noWrap w:val="false"/>
            <w:textDirection w:val="lrTb"/>
            <w:vAlign w:val="center"/>
          </w:tcPr>
          <w:p>
            <w:pPr>
              <w:tabs>
                <w:tab w:val="left" w:pos="1289" w:leader="none"/>
              </w:tabs>
              <w:rPr>
                <w:rFonts w:ascii="Arial" w:hAnsi="Arial" w:eastAsia="Arial"/>
                <w:color w:val="000000"/>
                <w:sz w:val="20"/>
                <w:szCs w:val="20"/>
                <w:highlight w:val="white"/>
              </w:rPr>
            </w:pPr>
            <w:r>
              <w:rPr>
                <w:rFonts w:ascii="Segoe UI" w:hAnsi="Segoe UI" w:eastAsia="Segoe UI"/>
                <w:color w:val="000000"/>
                <w:sz w:val="20"/>
                <w:szCs w:val="20"/>
                <w:highlight w:val="white"/>
              </w:rPr>
              <w:t xml:space="preserve">СПС КонсультантПлюс: Документы СССР</w:t>
            </w:r>
            <w:r>
              <w:rPr>
                <w:rFonts w:ascii="Arial" w:hAnsi="Arial" w:eastAsia="Arial"/>
                <w:color w:val="000000"/>
                <w:sz w:val="20"/>
                <w:szCs w:val="20"/>
                <w:highlight w:val="white"/>
              </w:rPr>
            </w:r>
            <w:r>
              <w:rPr>
                <w:rFonts w:ascii="Arial" w:hAnsi="Arial" w:eastAsia="Arial"/>
                <w:color w:val="000000"/>
                <w:sz w:val="20"/>
                <w:szCs w:val="20"/>
                <w:highlight w:val="white"/>
              </w:rPr>
            </w:r>
          </w:p>
        </w:tc>
        <w:tc>
          <w:tcPr>
            <w:tcW w:w="1701" w:type="dxa"/>
            <w:vMerge w:val="restart"/>
            <w:noWrap w:val="false"/>
            <w:textDirection w:val="lrTb"/>
            <w:vAlign w:val="center"/>
          </w:tcPr>
          <w:p>
            <w:pPr>
              <w:jc w:val="center"/>
              <w:rPr>
                <w:b w:val="0"/>
                <w:bCs w:val="0"/>
                <w:sz w:val="20"/>
                <w:szCs w:val="20"/>
                <w:highlight w:val="white"/>
              </w:rPr>
            </w:pPr>
            <w:r>
              <w:rPr>
                <w:b w:val="0"/>
                <w:bCs w:val="0"/>
                <w:sz w:val="20"/>
                <w:szCs w:val="20"/>
                <w:highlight w:val="white"/>
              </w:rPr>
            </w:r>
            <w:r>
              <w:rPr>
                <w:rFonts w:ascii="Arial" w:hAnsi="Arial" w:cs="Arial"/>
                <w:b w:val="0"/>
                <w:bCs w:val="0"/>
                <w:sz w:val="20"/>
                <w:szCs w:val="20"/>
                <w:highlight w:val="white"/>
              </w:rPr>
              <w:t xml:space="preserve">ОВМ10</w:t>
            </w:r>
            <w:r>
              <w:rPr>
                <w:b w:val="0"/>
                <w:bCs w:val="0"/>
                <w:sz w:val="20"/>
                <w:szCs w:val="20"/>
                <w:highlight w:val="white"/>
              </w:rPr>
            </w:r>
            <w:r>
              <w:rPr>
                <w:b w:val="0"/>
                <w:bCs w:val="0"/>
                <w:sz w:val="20"/>
                <w:szCs w:val="20"/>
                <w:highlight w:val="white"/>
              </w:rPr>
            </w:r>
          </w:p>
        </w:tc>
        <w:tc>
          <w:tcPr>
            <w:tcW w:w="850" w:type="dxa"/>
            <w:vMerge w:val="restart"/>
            <w:noWrap w:val="false"/>
            <w:textDirection w:val="lrTb"/>
            <w:vAlign w:val="center"/>
          </w:tcPr>
          <w:p>
            <w:pPr>
              <w:jc w:val="center"/>
              <w:rPr>
                <w:sz w:val="20"/>
                <w:szCs w:val="20"/>
                <w:highlight w:val="white"/>
              </w:rPr>
            </w:pPr>
            <w:r>
              <w:rPr>
                <w:sz w:val="20"/>
                <w:szCs w:val="20"/>
                <w:highlight w:val="white"/>
              </w:rPr>
              <w:t xml:space="preserve">1</w:t>
            </w:r>
            <w:r>
              <w:rPr>
                <w:sz w:val="20"/>
                <w:szCs w:val="20"/>
                <w:highlight w:val="white"/>
              </w:rPr>
            </w:r>
            <w:r>
              <w:rPr>
                <w:sz w:val="20"/>
                <w:szCs w:val="20"/>
                <w:highlight w:val="white"/>
              </w:rPr>
            </w:r>
          </w:p>
        </w:tc>
        <w:tc>
          <w:tcPr>
            <w:tcW w:w="1843" w:type="dxa"/>
            <w:vMerge w:val="restart"/>
            <w:noWrap w:val="false"/>
            <w:textDirection w:val="lrTb"/>
            <w:vAlign w:val="top"/>
          </w:tcPr>
          <w:p>
            <w:pPr>
              <w:pStyle w:val="909"/>
              <w:ind w:left="-50"/>
              <w:contextualSpacing/>
              <w:jc w:val="center"/>
              <w:rPr>
                <w:sz w:val="20"/>
                <w:szCs w:val="20"/>
                <w:highlight w:val="white"/>
              </w:rPr>
            </w:pPr>
            <w:r>
              <w:rPr>
                <w:sz w:val="20"/>
                <w:szCs w:val="20"/>
                <w:highlight w:val="white"/>
              </w:rPr>
            </w:r>
            <w:r>
              <w:rPr>
                <w:sz w:val="20"/>
                <w:szCs w:val="20"/>
                <w:highlight w:val="white"/>
              </w:rPr>
            </w:r>
            <w:r>
              <w:rPr>
                <w:sz w:val="20"/>
                <w:szCs w:val="20"/>
                <w:highlight w:val="white"/>
              </w:rPr>
            </w:r>
          </w:p>
        </w:tc>
      </w:tr>
      <w:tr>
        <w:trPr>
          <w:trHeight w:val="283"/>
        </w:trPr>
        <w:tblPrEx/>
        <w:tc>
          <w:tcPr>
            <w:tcW w:w="740" w:type="dxa"/>
            <w:noWrap w:val="false"/>
            <w:textDirection w:val="lrTb"/>
            <w:vAlign w:val="center"/>
          </w:tcPr>
          <w:p>
            <w:pPr>
              <w:pStyle w:val="909"/>
              <w:contextualSpacing/>
              <w:jc w:val="center"/>
              <w:rPr>
                <w:sz w:val="20"/>
                <w:szCs w:val="20"/>
                <w:highlight w:val="white"/>
              </w:rPr>
            </w:pPr>
            <w:r>
              <w:rPr>
                <w:sz w:val="20"/>
                <w:szCs w:val="20"/>
                <w:highlight w:val="white"/>
              </w:rPr>
              <w:t xml:space="preserve">6.</w:t>
            </w:r>
            <w:r>
              <w:rPr>
                <w:sz w:val="20"/>
                <w:szCs w:val="20"/>
                <w:highlight w:val="white"/>
              </w:rPr>
            </w:r>
            <w:r>
              <w:rPr>
                <w:sz w:val="20"/>
                <w:szCs w:val="20"/>
                <w:highlight w:val="white"/>
              </w:rPr>
            </w:r>
          </w:p>
        </w:tc>
        <w:tc>
          <w:tcPr>
            <w:tcW w:w="5332" w:type="dxa"/>
            <w:noWrap w:val="false"/>
            <w:textDirection w:val="lrTb"/>
            <w:vAlign w:val="center"/>
          </w:tcPr>
          <w:p>
            <w:pPr>
              <w:rPr>
                <w:rFonts w:ascii="Arial" w:hAnsi="Arial" w:cs="Arial"/>
                <w:sz w:val="20"/>
                <w:szCs w:val="20"/>
                <w:highlight w:val="white"/>
              </w:rPr>
            </w:pPr>
            <w:r>
              <w:rPr>
                <w:rFonts w:ascii="Arial" w:hAnsi="Arial" w:cs="Arial"/>
                <w:sz w:val="20"/>
                <w:szCs w:val="20"/>
                <w:highlight w:val="white"/>
              </w:rPr>
              <w:t xml:space="preserve">СПС КонсультантПлюс: Москва Проф</w:t>
            </w:r>
            <w:r>
              <w:rPr>
                <w:rFonts w:ascii="Arial" w:hAnsi="Arial" w:cs="Arial"/>
                <w:sz w:val="20"/>
                <w:szCs w:val="20"/>
                <w:highlight w:val="white"/>
              </w:rPr>
            </w:r>
            <w:r>
              <w:rPr>
                <w:rFonts w:ascii="Arial" w:hAnsi="Arial" w:cs="Arial"/>
                <w:sz w:val="20"/>
                <w:szCs w:val="20"/>
                <w:highlight w:val="white"/>
              </w:rPr>
            </w:r>
          </w:p>
        </w:tc>
        <w:tc>
          <w:tcPr>
            <w:tcW w:w="1701" w:type="dxa"/>
            <w:noWrap w:val="false"/>
            <w:textDirection w:val="lrTb"/>
            <w:vAlign w:val="center"/>
          </w:tcPr>
          <w:p>
            <w:pPr>
              <w:jc w:val="center"/>
              <w:rPr>
                <w:b w:val="0"/>
                <w:bCs w:val="0"/>
                <w:sz w:val="20"/>
                <w:szCs w:val="20"/>
                <w:highlight w:val="white"/>
              </w:rPr>
            </w:pPr>
            <w:r>
              <w:rPr>
                <w:b w:val="0"/>
                <w:bCs w:val="0"/>
                <w:sz w:val="20"/>
                <w:szCs w:val="20"/>
                <w:highlight w:val="white"/>
              </w:rPr>
            </w:r>
            <w:r>
              <w:rPr>
                <w:rFonts w:ascii="Arial" w:hAnsi="Arial" w:cs="Arial"/>
                <w:b w:val="0"/>
                <w:bCs w:val="0"/>
                <w:sz w:val="20"/>
                <w:szCs w:val="20"/>
                <w:highlight w:val="white"/>
              </w:rPr>
              <w:t xml:space="preserve">ОВМ10</w:t>
            </w:r>
            <w:r>
              <w:rPr>
                <w:b w:val="0"/>
                <w:bCs w:val="0"/>
                <w:sz w:val="20"/>
                <w:szCs w:val="20"/>
                <w:highlight w:val="white"/>
              </w:rPr>
            </w:r>
            <w:r>
              <w:rPr>
                <w:b w:val="0"/>
                <w:bCs w:val="0"/>
                <w:sz w:val="20"/>
                <w:szCs w:val="20"/>
                <w:highlight w:val="white"/>
              </w:rPr>
            </w:r>
          </w:p>
        </w:tc>
        <w:tc>
          <w:tcPr>
            <w:tcW w:w="850" w:type="dxa"/>
            <w:noWrap w:val="false"/>
            <w:textDirection w:val="lrTb"/>
            <w:vAlign w:val="center"/>
          </w:tcPr>
          <w:p>
            <w:pPr>
              <w:jc w:val="center"/>
              <w:rPr>
                <w:sz w:val="20"/>
                <w:szCs w:val="20"/>
                <w:highlight w:val="white"/>
              </w:rPr>
            </w:pPr>
            <w:r>
              <w:rPr>
                <w:sz w:val="20"/>
                <w:szCs w:val="20"/>
                <w:highlight w:val="white"/>
              </w:rPr>
              <w:t xml:space="preserve">2</w:t>
            </w:r>
            <w:r>
              <w:rPr>
                <w:sz w:val="20"/>
                <w:szCs w:val="20"/>
                <w:highlight w:val="white"/>
              </w:rPr>
            </w:r>
            <w:r>
              <w:rPr>
                <w:sz w:val="20"/>
                <w:szCs w:val="20"/>
                <w:highlight w:val="white"/>
              </w:rPr>
            </w:r>
          </w:p>
        </w:tc>
        <w:tc>
          <w:tcPr>
            <w:tcW w:w="1843" w:type="dxa"/>
            <w:noWrap w:val="false"/>
            <w:textDirection w:val="lrTb"/>
            <w:vAlign w:val="top"/>
          </w:tcPr>
          <w:p>
            <w:pPr>
              <w:pStyle w:val="909"/>
              <w:ind w:left="-50"/>
              <w:contextualSpacing/>
              <w:jc w:val="center"/>
              <w:rPr>
                <w:sz w:val="20"/>
                <w:szCs w:val="20"/>
                <w:highlight w:val="white"/>
              </w:rPr>
            </w:pPr>
            <w:r>
              <w:rPr>
                <w:sz w:val="20"/>
                <w:szCs w:val="20"/>
                <w:highlight w:val="white"/>
              </w:rPr>
            </w:r>
            <w:r>
              <w:rPr>
                <w:sz w:val="20"/>
                <w:szCs w:val="20"/>
                <w:highlight w:val="white"/>
              </w:rPr>
            </w:r>
            <w:r>
              <w:rPr>
                <w:sz w:val="20"/>
                <w:szCs w:val="20"/>
                <w:highlight w:val="white"/>
              </w:rPr>
            </w:r>
          </w:p>
        </w:tc>
      </w:tr>
      <w:tr>
        <w:trPr>
          <w:trHeight w:val="283"/>
        </w:trPr>
        <w:tblPrEx/>
        <w:tc>
          <w:tcPr>
            <w:tcW w:w="740" w:type="dxa"/>
            <w:noWrap w:val="false"/>
            <w:textDirection w:val="lrTb"/>
            <w:vAlign w:val="center"/>
          </w:tcPr>
          <w:p>
            <w:pPr>
              <w:pStyle w:val="909"/>
              <w:contextualSpacing/>
              <w:jc w:val="center"/>
              <w:rPr>
                <w:sz w:val="20"/>
                <w:szCs w:val="20"/>
                <w:highlight w:val="white"/>
              </w:rPr>
            </w:pPr>
            <w:r>
              <w:rPr>
                <w:sz w:val="20"/>
                <w:szCs w:val="20"/>
                <w:highlight w:val="white"/>
              </w:rPr>
              <w:t xml:space="preserve">7.</w:t>
            </w:r>
            <w:r>
              <w:rPr>
                <w:sz w:val="20"/>
                <w:szCs w:val="20"/>
                <w:highlight w:val="white"/>
              </w:rPr>
            </w:r>
            <w:r>
              <w:rPr>
                <w:sz w:val="20"/>
                <w:szCs w:val="20"/>
                <w:highlight w:val="white"/>
              </w:rPr>
            </w:r>
          </w:p>
        </w:tc>
        <w:tc>
          <w:tcPr>
            <w:tcW w:w="5332" w:type="dxa"/>
            <w:noWrap w:val="false"/>
            <w:textDirection w:val="lrTb"/>
            <w:vAlign w:val="center"/>
          </w:tcPr>
          <w:p>
            <w:pPr>
              <w:rPr>
                <w:rFonts w:ascii="Arial" w:hAnsi="Arial" w:cs="Arial"/>
                <w:sz w:val="20"/>
                <w:szCs w:val="20"/>
                <w:highlight w:val="white"/>
              </w:rPr>
            </w:pPr>
            <w:r>
              <w:rPr>
                <w:rFonts w:ascii="Arial" w:hAnsi="Arial" w:cs="Arial"/>
                <w:sz w:val="20"/>
                <w:szCs w:val="20"/>
                <w:highlight w:val="white"/>
              </w:rPr>
              <w:t xml:space="preserve">СПС КонсультантПлюс: Московская область</w:t>
            </w:r>
            <w:r>
              <w:rPr>
                <w:rFonts w:ascii="Arial" w:hAnsi="Arial" w:cs="Arial"/>
                <w:sz w:val="20"/>
                <w:szCs w:val="20"/>
                <w:highlight w:val="white"/>
              </w:rPr>
            </w:r>
            <w:r>
              <w:rPr>
                <w:rFonts w:ascii="Arial" w:hAnsi="Arial" w:cs="Arial"/>
                <w:sz w:val="20"/>
                <w:szCs w:val="20"/>
                <w:highlight w:val="white"/>
              </w:rPr>
            </w:r>
          </w:p>
        </w:tc>
        <w:tc>
          <w:tcPr>
            <w:tcW w:w="1701" w:type="dxa"/>
            <w:noWrap w:val="false"/>
            <w:textDirection w:val="lrTb"/>
            <w:vAlign w:val="center"/>
          </w:tcPr>
          <w:p>
            <w:pPr>
              <w:jc w:val="center"/>
              <w:rPr>
                <w:b w:val="0"/>
                <w:bCs w:val="0"/>
                <w:sz w:val="20"/>
                <w:szCs w:val="20"/>
                <w:highlight w:val="white"/>
              </w:rPr>
            </w:pPr>
            <w:r>
              <w:rPr>
                <w:b w:val="0"/>
                <w:bCs w:val="0"/>
                <w:sz w:val="20"/>
                <w:szCs w:val="20"/>
                <w:highlight w:val="white"/>
              </w:rPr>
            </w:r>
            <w:r>
              <w:rPr>
                <w:rFonts w:ascii="Arial" w:hAnsi="Arial" w:cs="Arial"/>
                <w:b w:val="0"/>
                <w:bCs w:val="0"/>
                <w:sz w:val="20"/>
                <w:szCs w:val="20"/>
                <w:highlight w:val="white"/>
              </w:rPr>
              <w:t xml:space="preserve">ОВМ10</w:t>
            </w:r>
            <w:r>
              <w:rPr>
                <w:b w:val="0"/>
                <w:bCs w:val="0"/>
                <w:sz w:val="20"/>
                <w:szCs w:val="20"/>
                <w:highlight w:val="white"/>
              </w:rPr>
            </w:r>
            <w:r>
              <w:rPr>
                <w:b w:val="0"/>
                <w:bCs w:val="0"/>
                <w:sz w:val="20"/>
                <w:szCs w:val="20"/>
                <w:highlight w:val="white"/>
              </w:rPr>
            </w:r>
          </w:p>
        </w:tc>
        <w:tc>
          <w:tcPr>
            <w:tcW w:w="850" w:type="dxa"/>
            <w:noWrap w:val="false"/>
            <w:textDirection w:val="lrTb"/>
            <w:vAlign w:val="center"/>
          </w:tcPr>
          <w:p>
            <w:pPr>
              <w:jc w:val="center"/>
              <w:rPr>
                <w:sz w:val="20"/>
                <w:szCs w:val="20"/>
                <w:highlight w:val="white"/>
              </w:rPr>
            </w:pPr>
            <w:r>
              <w:rPr>
                <w:sz w:val="20"/>
                <w:szCs w:val="20"/>
                <w:highlight w:val="white"/>
              </w:rPr>
              <w:t xml:space="preserve">2</w:t>
            </w:r>
            <w:r>
              <w:rPr>
                <w:sz w:val="20"/>
                <w:szCs w:val="20"/>
                <w:highlight w:val="white"/>
              </w:rPr>
            </w:r>
            <w:r>
              <w:rPr>
                <w:sz w:val="20"/>
                <w:szCs w:val="20"/>
                <w:highlight w:val="white"/>
              </w:rPr>
            </w:r>
          </w:p>
        </w:tc>
        <w:tc>
          <w:tcPr>
            <w:tcW w:w="1843" w:type="dxa"/>
            <w:noWrap w:val="false"/>
            <w:textDirection w:val="lrTb"/>
            <w:vAlign w:val="top"/>
          </w:tcPr>
          <w:p>
            <w:pPr>
              <w:pStyle w:val="909"/>
              <w:ind w:left="-50"/>
              <w:contextualSpacing/>
              <w:jc w:val="center"/>
              <w:rPr>
                <w:sz w:val="20"/>
                <w:szCs w:val="20"/>
                <w:highlight w:val="white"/>
              </w:rPr>
            </w:pPr>
            <w:r>
              <w:rPr>
                <w:sz w:val="20"/>
                <w:szCs w:val="20"/>
                <w:highlight w:val="white"/>
              </w:rPr>
            </w:r>
            <w:r>
              <w:rPr>
                <w:sz w:val="20"/>
                <w:szCs w:val="20"/>
                <w:highlight w:val="white"/>
              </w:rPr>
            </w:r>
            <w:r>
              <w:rPr>
                <w:sz w:val="20"/>
                <w:szCs w:val="20"/>
                <w:highlight w:val="white"/>
              </w:rPr>
            </w:r>
          </w:p>
        </w:tc>
      </w:tr>
      <w:tr>
        <w:trPr>
          <w:trHeight w:val="283"/>
        </w:trPr>
        <w:tblPrEx/>
        <w:tc>
          <w:tcPr>
            <w:tcW w:w="740" w:type="dxa"/>
            <w:vMerge w:val="restart"/>
            <w:noWrap w:val="false"/>
            <w:textDirection w:val="lrTb"/>
            <w:vAlign w:val="center"/>
          </w:tcPr>
          <w:p>
            <w:pPr>
              <w:pStyle w:val="909"/>
              <w:contextualSpacing/>
              <w:jc w:val="center"/>
              <w:rPr>
                <w:sz w:val="20"/>
                <w:szCs w:val="20"/>
                <w:highlight w:val="white"/>
              </w:rPr>
            </w:pPr>
            <w:r>
              <w:rPr>
                <w:sz w:val="20"/>
                <w:szCs w:val="20"/>
                <w:highlight w:val="white"/>
              </w:rPr>
              <w:t xml:space="preserve">8.</w:t>
            </w:r>
            <w:r>
              <w:rPr>
                <w:sz w:val="20"/>
                <w:szCs w:val="20"/>
                <w:highlight w:val="white"/>
              </w:rPr>
            </w:r>
            <w:r>
              <w:rPr>
                <w:sz w:val="20"/>
                <w:szCs w:val="20"/>
                <w:highlight w:val="white"/>
              </w:rPr>
            </w:r>
          </w:p>
        </w:tc>
        <w:tc>
          <w:tcPr>
            <w:tcW w:w="5332" w:type="dxa"/>
            <w:vMerge w:val="restart"/>
            <w:noWrap w:val="false"/>
            <w:textDirection w:val="lrTb"/>
            <w:vAlign w:val="center"/>
          </w:tcPr>
          <w:p>
            <w:pPr>
              <w:rPr>
                <w:rFonts w:ascii="Arial" w:hAnsi="Arial" w:eastAsia="Arial"/>
                <w:color w:val="000000"/>
                <w:sz w:val="20"/>
                <w:szCs w:val="20"/>
                <w:highlight w:val="white"/>
              </w:rPr>
            </w:pPr>
            <w:r>
              <w:rPr>
                <w:rFonts w:ascii="Arial" w:hAnsi="Arial" w:eastAsia="Arial"/>
                <w:color w:val="000000"/>
                <w:sz w:val="20"/>
                <w:szCs w:val="20"/>
                <w:highlight w:val="white"/>
              </w:rPr>
              <w:t xml:space="preserve">СПС КонсультантПлюс: Сводное региональное законодательство</w:t>
            </w:r>
            <w:r>
              <w:rPr>
                <w:rFonts w:ascii="Arial" w:hAnsi="Arial" w:eastAsia="Arial"/>
                <w:color w:val="000000"/>
                <w:sz w:val="20"/>
                <w:szCs w:val="20"/>
                <w:highlight w:val="white"/>
              </w:rPr>
            </w:r>
            <w:r>
              <w:rPr>
                <w:rFonts w:ascii="Arial" w:hAnsi="Arial" w:eastAsia="Arial"/>
                <w:color w:val="000000"/>
                <w:sz w:val="20"/>
                <w:szCs w:val="20"/>
                <w:highlight w:val="white"/>
              </w:rPr>
            </w:r>
          </w:p>
        </w:tc>
        <w:tc>
          <w:tcPr>
            <w:tcW w:w="1701" w:type="dxa"/>
            <w:vMerge w:val="restart"/>
            <w:noWrap w:val="false"/>
            <w:textDirection w:val="lrTb"/>
            <w:vAlign w:val="center"/>
          </w:tcPr>
          <w:p>
            <w:pPr>
              <w:jc w:val="center"/>
              <w:rPr>
                <w:b w:val="0"/>
                <w:bCs w:val="0"/>
                <w:sz w:val="20"/>
                <w:szCs w:val="20"/>
                <w:highlight w:val="white"/>
              </w:rPr>
            </w:pPr>
            <w:r>
              <w:rPr>
                <w:b w:val="0"/>
                <w:bCs w:val="0"/>
                <w:sz w:val="20"/>
                <w:szCs w:val="20"/>
                <w:highlight w:val="white"/>
              </w:rPr>
            </w:r>
            <w:r>
              <w:rPr>
                <w:rFonts w:ascii="Arial" w:hAnsi="Arial" w:cs="Arial"/>
                <w:b w:val="0"/>
                <w:bCs w:val="0"/>
                <w:sz w:val="20"/>
                <w:szCs w:val="20"/>
                <w:highlight w:val="white"/>
              </w:rPr>
              <w:t xml:space="preserve">ОВМ10</w:t>
            </w:r>
            <w:r>
              <w:rPr>
                <w:b w:val="0"/>
                <w:bCs w:val="0"/>
                <w:sz w:val="20"/>
                <w:szCs w:val="20"/>
                <w:highlight w:val="white"/>
              </w:rPr>
            </w:r>
            <w:r>
              <w:rPr>
                <w:b w:val="0"/>
                <w:bCs w:val="0"/>
                <w:sz w:val="20"/>
                <w:szCs w:val="20"/>
                <w:highlight w:val="white"/>
              </w:rPr>
            </w:r>
          </w:p>
        </w:tc>
        <w:tc>
          <w:tcPr>
            <w:tcW w:w="850" w:type="dxa"/>
            <w:vMerge w:val="restart"/>
            <w:noWrap w:val="false"/>
            <w:textDirection w:val="lrTb"/>
            <w:vAlign w:val="center"/>
          </w:tcPr>
          <w:p>
            <w:pPr>
              <w:jc w:val="center"/>
              <w:rPr>
                <w:sz w:val="20"/>
                <w:szCs w:val="20"/>
                <w:highlight w:val="white"/>
              </w:rPr>
            </w:pPr>
            <w:r>
              <w:rPr>
                <w:sz w:val="20"/>
                <w:szCs w:val="20"/>
                <w:highlight w:val="white"/>
              </w:rPr>
              <w:t xml:space="preserve">2</w:t>
            </w:r>
            <w:r>
              <w:rPr>
                <w:sz w:val="20"/>
                <w:szCs w:val="20"/>
                <w:highlight w:val="white"/>
              </w:rPr>
            </w:r>
            <w:r>
              <w:rPr>
                <w:sz w:val="20"/>
                <w:szCs w:val="20"/>
                <w:highlight w:val="white"/>
              </w:rPr>
            </w:r>
          </w:p>
        </w:tc>
        <w:tc>
          <w:tcPr>
            <w:tcW w:w="1843" w:type="dxa"/>
            <w:vMerge w:val="restart"/>
            <w:noWrap w:val="false"/>
            <w:textDirection w:val="lrTb"/>
            <w:vAlign w:val="top"/>
          </w:tcPr>
          <w:p>
            <w:pPr>
              <w:pStyle w:val="909"/>
              <w:ind w:left="-50"/>
              <w:contextualSpacing/>
              <w:jc w:val="center"/>
              <w:rPr>
                <w:sz w:val="20"/>
                <w:szCs w:val="20"/>
                <w:highlight w:val="white"/>
              </w:rPr>
            </w:pPr>
            <w:r>
              <w:rPr>
                <w:sz w:val="20"/>
                <w:szCs w:val="20"/>
                <w:highlight w:val="white"/>
              </w:rPr>
            </w:r>
            <w:r>
              <w:rPr>
                <w:sz w:val="20"/>
                <w:szCs w:val="20"/>
                <w:highlight w:val="white"/>
              </w:rPr>
            </w:r>
            <w:r>
              <w:rPr>
                <w:sz w:val="20"/>
                <w:szCs w:val="20"/>
                <w:highlight w:val="white"/>
              </w:rPr>
            </w:r>
          </w:p>
        </w:tc>
      </w:tr>
      <w:tr>
        <w:trPr>
          <w:trHeight w:val="283"/>
        </w:trPr>
        <w:tblPrEx/>
        <w:tc>
          <w:tcPr>
            <w:tcW w:w="740" w:type="dxa"/>
            <w:noWrap w:val="false"/>
            <w:textDirection w:val="lrTb"/>
            <w:vAlign w:val="center"/>
          </w:tcPr>
          <w:p>
            <w:pPr>
              <w:pStyle w:val="909"/>
              <w:contextualSpacing/>
              <w:jc w:val="center"/>
              <w:rPr>
                <w:sz w:val="20"/>
                <w:szCs w:val="20"/>
                <w:highlight w:val="white"/>
              </w:rPr>
            </w:pPr>
            <w:r>
              <w:rPr>
                <w:sz w:val="20"/>
                <w:szCs w:val="20"/>
                <w:highlight w:val="white"/>
              </w:rPr>
              <w:t xml:space="preserve">9.</w:t>
            </w:r>
            <w:r>
              <w:rPr>
                <w:sz w:val="20"/>
                <w:szCs w:val="20"/>
                <w:highlight w:val="white"/>
              </w:rPr>
            </w:r>
            <w:r>
              <w:rPr>
                <w:sz w:val="20"/>
                <w:szCs w:val="20"/>
                <w:highlight w:val="white"/>
              </w:rPr>
            </w:r>
          </w:p>
        </w:tc>
        <w:tc>
          <w:tcPr>
            <w:tcW w:w="5332" w:type="dxa"/>
            <w:noWrap w:val="false"/>
            <w:textDirection w:val="lrTb"/>
            <w:vAlign w:val="center"/>
          </w:tcPr>
          <w:p>
            <w:pPr>
              <w:rPr>
                <w:rFonts w:ascii="Arial" w:hAnsi="Arial" w:cs="Arial"/>
                <w:sz w:val="20"/>
                <w:szCs w:val="20"/>
                <w:highlight w:val="white"/>
              </w:rPr>
            </w:pPr>
            <w:r>
              <w:rPr>
                <w:rFonts w:ascii="Arial" w:hAnsi="Arial" w:cs="Arial"/>
                <w:sz w:val="20"/>
                <w:szCs w:val="20"/>
                <w:highlight w:val="white"/>
              </w:rPr>
              <w:t xml:space="preserve">СС КонсультантБухгалтер: Корреспонденция счетов</w:t>
            </w:r>
            <w:r>
              <w:rPr>
                <w:rFonts w:ascii="Arial" w:hAnsi="Arial" w:cs="Arial"/>
                <w:sz w:val="20"/>
                <w:szCs w:val="20"/>
                <w:highlight w:val="white"/>
              </w:rPr>
            </w:r>
            <w:r>
              <w:rPr>
                <w:rFonts w:ascii="Arial" w:hAnsi="Arial" w:cs="Arial"/>
                <w:sz w:val="20"/>
                <w:szCs w:val="20"/>
                <w:highlight w:val="white"/>
              </w:rPr>
            </w:r>
          </w:p>
        </w:tc>
        <w:tc>
          <w:tcPr>
            <w:tcW w:w="1701" w:type="dxa"/>
            <w:noWrap w:val="false"/>
            <w:textDirection w:val="lrTb"/>
            <w:vAlign w:val="center"/>
          </w:tcPr>
          <w:p>
            <w:pPr>
              <w:jc w:val="center"/>
              <w:rPr>
                <w:b w:val="0"/>
                <w:bCs w:val="0"/>
                <w:sz w:val="20"/>
                <w:szCs w:val="20"/>
                <w:highlight w:val="white"/>
              </w:rPr>
            </w:pPr>
            <w:r>
              <w:rPr>
                <w:b w:val="0"/>
                <w:bCs w:val="0"/>
                <w:sz w:val="20"/>
                <w:szCs w:val="20"/>
                <w:highlight w:val="white"/>
              </w:rPr>
            </w:r>
            <w:r>
              <w:rPr>
                <w:rFonts w:ascii="Arial" w:hAnsi="Arial" w:cs="Arial"/>
                <w:b w:val="0"/>
                <w:bCs w:val="0"/>
                <w:sz w:val="20"/>
                <w:szCs w:val="20"/>
                <w:highlight w:val="white"/>
              </w:rPr>
              <w:t xml:space="preserve">ОВМ10</w:t>
            </w:r>
            <w:r>
              <w:rPr>
                <w:b w:val="0"/>
                <w:bCs w:val="0"/>
                <w:sz w:val="20"/>
                <w:szCs w:val="20"/>
                <w:highlight w:val="white"/>
              </w:rPr>
            </w:r>
            <w:r>
              <w:rPr>
                <w:b w:val="0"/>
                <w:bCs w:val="0"/>
                <w:sz w:val="20"/>
                <w:szCs w:val="20"/>
                <w:highlight w:val="white"/>
              </w:rPr>
            </w:r>
          </w:p>
        </w:tc>
        <w:tc>
          <w:tcPr>
            <w:tcW w:w="850" w:type="dxa"/>
            <w:noWrap w:val="false"/>
            <w:textDirection w:val="lrTb"/>
            <w:vAlign w:val="center"/>
          </w:tcPr>
          <w:p>
            <w:pPr>
              <w:jc w:val="center"/>
              <w:rPr>
                <w:sz w:val="20"/>
                <w:szCs w:val="20"/>
                <w:highlight w:val="white"/>
              </w:rPr>
            </w:pPr>
            <w:r>
              <w:rPr>
                <w:sz w:val="20"/>
                <w:szCs w:val="20"/>
                <w:highlight w:val="white"/>
              </w:rPr>
              <w:t xml:space="preserve">2</w:t>
            </w:r>
            <w:r>
              <w:rPr>
                <w:sz w:val="20"/>
                <w:szCs w:val="20"/>
                <w:highlight w:val="white"/>
              </w:rPr>
            </w:r>
            <w:r>
              <w:rPr>
                <w:sz w:val="20"/>
                <w:szCs w:val="20"/>
                <w:highlight w:val="white"/>
              </w:rPr>
            </w:r>
          </w:p>
        </w:tc>
        <w:tc>
          <w:tcPr>
            <w:tcW w:w="1843" w:type="dxa"/>
            <w:noWrap w:val="false"/>
            <w:textDirection w:val="lrTb"/>
            <w:vAlign w:val="top"/>
          </w:tcPr>
          <w:p>
            <w:pPr>
              <w:pStyle w:val="909"/>
              <w:ind w:left="-50"/>
              <w:contextualSpacing/>
              <w:jc w:val="center"/>
              <w:rPr>
                <w:sz w:val="20"/>
                <w:szCs w:val="20"/>
                <w:highlight w:val="white"/>
              </w:rPr>
            </w:pPr>
            <w:r>
              <w:rPr>
                <w:sz w:val="20"/>
                <w:szCs w:val="20"/>
                <w:highlight w:val="white"/>
              </w:rPr>
            </w:r>
            <w:r>
              <w:rPr>
                <w:sz w:val="20"/>
                <w:szCs w:val="20"/>
                <w:highlight w:val="white"/>
              </w:rPr>
            </w:r>
            <w:r>
              <w:rPr>
                <w:sz w:val="20"/>
                <w:szCs w:val="20"/>
                <w:highlight w:val="white"/>
              </w:rPr>
            </w:r>
          </w:p>
        </w:tc>
      </w:tr>
      <w:tr>
        <w:trPr>
          <w:trHeight w:val="283"/>
        </w:trPr>
        <w:tblPrEx/>
        <w:tc>
          <w:tcPr>
            <w:tcW w:w="740" w:type="dxa"/>
            <w:noWrap w:val="false"/>
            <w:textDirection w:val="lrTb"/>
            <w:vAlign w:val="center"/>
          </w:tcPr>
          <w:p>
            <w:pPr>
              <w:pStyle w:val="909"/>
              <w:contextualSpacing/>
              <w:jc w:val="center"/>
              <w:rPr>
                <w:sz w:val="20"/>
                <w:szCs w:val="20"/>
                <w:highlight w:val="white"/>
              </w:rPr>
            </w:pPr>
            <w:r>
              <w:rPr>
                <w:sz w:val="20"/>
                <w:szCs w:val="20"/>
                <w:highlight w:val="white"/>
              </w:rPr>
              <w:t xml:space="preserve">10.</w:t>
            </w:r>
            <w:r>
              <w:rPr>
                <w:sz w:val="20"/>
                <w:szCs w:val="20"/>
                <w:highlight w:val="white"/>
              </w:rPr>
            </w:r>
            <w:r>
              <w:rPr>
                <w:sz w:val="20"/>
                <w:szCs w:val="20"/>
                <w:highlight w:val="white"/>
              </w:rPr>
            </w:r>
          </w:p>
        </w:tc>
        <w:tc>
          <w:tcPr>
            <w:tcW w:w="5332" w:type="dxa"/>
            <w:noWrap w:val="false"/>
            <w:textDirection w:val="lrTb"/>
            <w:vAlign w:val="center"/>
          </w:tcPr>
          <w:p>
            <w:pPr>
              <w:rPr>
                <w:rFonts w:ascii="Arial" w:hAnsi="Arial" w:cs="Arial"/>
                <w:sz w:val="20"/>
                <w:szCs w:val="20"/>
                <w:highlight w:val="white"/>
              </w:rPr>
            </w:pPr>
            <w:r>
              <w:rPr>
                <w:rFonts w:ascii="Arial" w:hAnsi="Arial" w:cs="Arial"/>
                <w:sz w:val="20"/>
                <w:szCs w:val="20"/>
                <w:highlight w:val="white"/>
              </w:rPr>
              <w:t xml:space="preserve">СС КонсультантАрбитраж: Арбитражные суды всех округов</w:t>
            </w:r>
            <w:r>
              <w:rPr>
                <w:rFonts w:ascii="Arial" w:hAnsi="Arial" w:cs="Arial"/>
                <w:sz w:val="20"/>
                <w:szCs w:val="20"/>
                <w:highlight w:val="white"/>
              </w:rPr>
            </w:r>
            <w:r>
              <w:rPr>
                <w:rFonts w:ascii="Arial" w:hAnsi="Arial" w:cs="Arial"/>
                <w:sz w:val="20"/>
                <w:szCs w:val="20"/>
                <w:highlight w:val="white"/>
              </w:rPr>
            </w:r>
          </w:p>
        </w:tc>
        <w:tc>
          <w:tcPr>
            <w:tcW w:w="1701" w:type="dxa"/>
            <w:noWrap w:val="false"/>
            <w:textDirection w:val="lrTb"/>
            <w:vAlign w:val="center"/>
          </w:tcPr>
          <w:p>
            <w:pPr>
              <w:jc w:val="center"/>
              <w:rPr>
                <w:b w:val="0"/>
                <w:bCs w:val="0"/>
                <w:sz w:val="20"/>
                <w:szCs w:val="20"/>
                <w:highlight w:val="white"/>
              </w:rPr>
            </w:pPr>
            <w:r>
              <w:rPr>
                <w:b w:val="0"/>
                <w:bCs w:val="0"/>
                <w:sz w:val="20"/>
                <w:szCs w:val="20"/>
                <w:highlight w:val="white"/>
              </w:rPr>
            </w:r>
            <w:r>
              <w:rPr>
                <w:rFonts w:ascii="Arial" w:hAnsi="Arial" w:cs="Arial"/>
                <w:b w:val="0"/>
                <w:bCs w:val="0"/>
                <w:sz w:val="20"/>
                <w:szCs w:val="20"/>
                <w:highlight w:val="white"/>
              </w:rPr>
              <w:t xml:space="preserve">ОВМ10</w:t>
            </w:r>
            <w:r>
              <w:rPr>
                <w:b w:val="0"/>
                <w:bCs w:val="0"/>
                <w:sz w:val="20"/>
                <w:szCs w:val="20"/>
                <w:highlight w:val="white"/>
              </w:rPr>
            </w:r>
            <w:r>
              <w:rPr>
                <w:b w:val="0"/>
                <w:bCs w:val="0"/>
                <w:sz w:val="20"/>
                <w:szCs w:val="20"/>
                <w:highlight w:val="white"/>
              </w:rPr>
            </w:r>
          </w:p>
        </w:tc>
        <w:tc>
          <w:tcPr>
            <w:tcW w:w="850" w:type="dxa"/>
            <w:noWrap w:val="false"/>
            <w:textDirection w:val="lrTb"/>
            <w:vAlign w:val="center"/>
          </w:tcPr>
          <w:p>
            <w:pPr>
              <w:jc w:val="center"/>
              <w:rPr>
                <w:sz w:val="20"/>
                <w:szCs w:val="20"/>
                <w:highlight w:val="white"/>
              </w:rPr>
            </w:pPr>
            <w:r>
              <w:rPr>
                <w:sz w:val="20"/>
                <w:szCs w:val="20"/>
                <w:highlight w:val="white"/>
              </w:rPr>
              <w:t xml:space="preserve">1</w:t>
            </w:r>
            <w:r>
              <w:rPr>
                <w:sz w:val="20"/>
                <w:szCs w:val="20"/>
                <w:highlight w:val="white"/>
              </w:rPr>
            </w:r>
            <w:r>
              <w:rPr>
                <w:sz w:val="20"/>
                <w:szCs w:val="20"/>
                <w:highlight w:val="white"/>
              </w:rPr>
            </w:r>
          </w:p>
        </w:tc>
        <w:tc>
          <w:tcPr>
            <w:tcW w:w="1843" w:type="dxa"/>
            <w:noWrap w:val="false"/>
            <w:textDirection w:val="lrTb"/>
            <w:vAlign w:val="top"/>
          </w:tcPr>
          <w:p>
            <w:pPr>
              <w:pStyle w:val="909"/>
              <w:ind w:left="-50"/>
              <w:contextualSpacing/>
              <w:jc w:val="center"/>
              <w:rPr>
                <w:sz w:val="20"/>
                <w:szCs w:val="20"/>
                <w:highlight w:val="white"/>
              </w:rPr>
            </w:pPr>
            <w:r>
              <w:rPr>
                <w:sz w:val="20"/>
                <w:szCs w:val="20"/>
                <w:highlight w:val="white"/>
              </w:rPr>
            </w:r>
            <w:r>
              <w:rPr>
                <w:sz w:val="20"/>
                <w:szCs w:val="20"/>
                <w:highlight w:val="white"/>
              </w:rPr>
            </w:r>
            <w:r>
              <w:rPr>
                <w:sz w:val="20"/>
                <w:szCs w:val="20"/>
                <w:highlight w:val="white"/>
              </w:rPr>
            </w:r>
          </w:p>
        </w:tc>
      </w:tr>
      <w:tr>
        <w:trPr>
          <w:trHeight w:val="283"/>
        </w:trPr>
        <w:tblPrEx/>
        <w:tc>
          <w:tcPr>
            <w:tcW w:w="740" w:type="dxa"/>
            <w:noWrap w:val="false"/>
            <w:textDirection w:val="lrTb"/>
            <w:vAlign w:val="center"/>
          </w:tcPr>
          <w:p>
            <w:pPr>
              <w:pStyle w:val="909"/>
              <w:contextualSpacing/>
              <w:jc w:val="center"/>
              <w:rPr>
                <w:sz w:val="20"/>
                <w:szCs w:val="20"/>
                <w:highlight w:val="white"/>
              </w:rPr>
            </w:pPr>
            <w:r>
              <w:rPr>
                <w:sz w:val="20"/>
                <w:szCs w:val="20"/>
                <w:highlight w:val="white"/>
              </w:rPr>
              <w:t xml:space="preserve">11.</w:t>
            </w:r>
            <w:r>
              <w:rPr>
                <w:sz w:val="20"/>
                <w:szCs w:val="20"/>
                <w:highlight w:val="white"/>
              </w:rPr>
            </w:r>
            <w:r>
              <w:rPr>
                <w:sz w:val="20"/>
                <w:szCs w:val="20"/>
                <w:highlight w:val="white"/>
              </w:rPr>
            </w:r>
          </w:p>
        </w:tc>
        <w:tc>
          <w:tcPr>
            <w:tcW w:w="5332" w:type="dxa"/>
            <w:noWrap w:val="false"/>
            <w:textDirection w:val="lrTb"/>
            <w:vAlign w:val="center"/>
          </w:tcPr>
          <w:p>
            <w:pPr>
              <w:rPr>
                <w:rFonts w:ascii="Arial" w:hAnsi="Arial" w:cs="Arial"/>
                <w:sz w:val="20"/>
                <w:szCs w:val="20"/>
                <w:highlight w:val="white"/>
              </w:rPr>
            </w:pPr>
            <w:r>
              <w:rPr>
                <w:rFonts w:ascii="Arial" w:hAnsi="Arial" w:cs="Arial"/>
                <w:sz w:val="20"/>
                <w:szCs w:val="20"/>
                <w:highlight w:val="white"/>
              </w:rPr>
              <w:t xml:space="preserve">СС КонсультантАрбитраж: Все апелляционные суды</w:t>
            </w:r>
            <w:r>
              <w:rPr>
                <w:rFonts w:ascii="Arial" w:hAnsi="Arial" w:cs="Arial"/>
                <w:sz w:val="20"/>
                <w:szCs w:val="20"/>
                <w:highlight w:val="white"/>
              </w:rPr>
            </w:r>
            <w:r>
              <w:rPr>
                <w:rFonts w:ascii="Arial" w:hAnsi="Arial" w:cs="Arial"/>
                <w:sz w:val="20"/>
                <w:szCs w:val="20"/>
                <w:highlight w:val="white"/>
              </w:rPr>
            </w:r>
          </w:p>
        </w:tc>
        <w:tc>
          <w:tcPr>
            <w:tcW w:w="1701" w:type="dxa"/>
            <w:noWrap w:val="false"/>
            <w:textDirection w:val="lrTb"/>
            <w:vAlign w:val="center"/>
          </w:tcPr>
          <w:p>
            <w:pPr>
              <w:jc w:val="center"/>
              <w:rPr>
                <w:b w:val="0"/>
                <w:bCs w:val="0"/>
                <w:sz w:val="20"/>
                <w:szCs w:val="20"/>
                <w:highlight w:val="white"/>
              </w:rPr>
            </w:pPr>
            <w:r>
              <w:rPr>
                <w:b w:val="0"/>
                <w:bCs w:val="0"/>
                <w:sz w:val="20"/>
                <w:szCs w:val="20"/>
                <w:highlight w:val="white"/>
              </w:rPr>
            </w:r>
            <w:r>
              <w:rPr>
                <w:rFonts w:ascii="Arial" w:hAnsi="Arial" w:cs="Arial"/>
                <w:b w:val="0"/>
                <w:bCs w:val="0"/>
                <w:sz w:val="20"/>
                <w:szCs w:val="20"/>
                <w:highlight w:val="white"/>
              </w:rPr>
              <w:t xml:space="preserve">ОВМ10</w:t>
            </w:r>
            <w:r>
              <w:rPr>
                <w:b w:val="0"/>
                <w:bCs w:val="0"/>
                <w:sz w:val="20"/>
                <w:szCs w:val="20"/>
                <w:highlight w:val="white"/>
              </w:rPr>
            </w:r>
            <w:r>
              <w:rPr>
                <w:b w:val="0"/>
                <w:bCs w:val="0"/>
                <w:sz w:val="20"/>
                <w:szCs w:val="20"/>
                <w:highlight w:val="white"/>
              </w:rPr>
            </w:r>
          </w:p>
        </w:tc>
        <w:tc>
          <w:tcPr>
            <w:tcW w:w="850" w:type="dxa"/>
            <w:noWrap w:val="false"/>
            <w:textDirection w:val="lrTb"/>
            <w:vAlign w:val="center"/>
          </w:tcPr>
          <w:p>
            <w:pPr>
              <w:jc w:val="center"/>
              <w:rPr>
                <w:sz w:val="20"/>
                <w:szCs w:val="20"/>
                <w:highlight w:val="white"/>
              </w:rPr>
            </w:pPr>
            <w:r>
              <w:rPr>
                <w:sz w:val="20"/>
                <w:szCs w:val="20"/>
                <w:highlight w:val="white"/>
              </w:rPr>
              <w:t xml:space="preserve">1</w:t>
            </w:r>
            <w:r>
              <w:rPr>
                <w:sz w:val="20"/>
                <w:szCs w:val="20"/>
                <w:highlight w:val="white"/>
              </w:rPr>
            </w:r>
            <w:r>
              <w:rPr>
                <w:sz w:val="20"/>
                <w:szCs w:val="20"/>
                <w:highlight w:val="white"/>
              </w:rPr>
            </w:r>
          </w:p>
        </w:tc>
        <w:tc>
          <w:tcPr>
            <w:tcW w:w="1843" w:type="dxa"/>
            <w:noWrap w:val="false"/>
            <w:textDirection w:val="lrTb"/>
            <w:vAlign w:val="top"/>
          </w:tcPr>
          <w:p>
            <w:pPr>
              <w:pStyle w:val="909"/>
              <w:ind w:left="-50"/>
              <w:contextualSpacing/>
              <w:jc w:val="center"/>
              <w:rPr>
                <w:sz w:val="20"/>
                <w:szCs w:val="20"/>
                <w:highlight w:val="white"/>
              </w:rPr>
            </w:pPr>
            <w:r>
              <w:rPr>
                <w:sz w:val="20"/>
                <w:szCs w:val="20"/>
                <w:highlight w:val="white"/>
              </w:rPr>
            </w:r>
            <w:r>
              <w:rPr>
                <w:sz w:val="20"/>
                <w:szCs w:val="20"/>
                <w:highlight w:val="white"/>
              </w:rPr>
            </w:r>
            <w:r>
              <w:rPr>
                <w:sz w:val="20"/>
                <w:szCs w:val="20"/>
                <w:highlight w:val="white"/>
              </w:rPr>
            </w:r>
          </w:p>
        </w:tc>
      </w:tr>
      <w:tr>
        <w:trPr>
          <w:trHeight w:val="283"/>
        </w:trPr>
        <w:tblPrEx/>
        <w:tc>
          <w:tcPr>
            <w:tcW w:w="740" w:type="dxa"/>
            <w:noWrap w:val="false"/>
            <w:textDirection w:val="lrTb"/>
            <w:vAlign w:val="center"/>
          </w:tcPr>
          <w:p>
            <w:pPr>
              <w:pStyle w:val="909"/>
              <w:contextualSpacing/>
              <w:jc w:val="center"/>
              <w:rPr>
                <w:sz w:val="20"/>
                <w:szCs w:val="20"/>
                <w:highlight w:val="white"/>
              </w:rPr>
            </w:pPr>
            <w:r>
              <w:rPr>
                <w:sz w:val="20"/>
                <w:szCs w:val="20"/>
                <w:highlight w:val="white"/>
              </w:rPr>
              <w:t xml:space="preserve">12.</w:t>
            </w:r>
            <w:r>
              <w:rPr>
                <w:sz w:val="20"/>
                <w:szCs w:val="20"/>
                <w:highlight w:val="white"/>
              </w:rPr>
            </w:r>
            <w:r>
              <w:rPr>
                <w:sz w:val="20"/>
                <w:szCs w:val="20"/>
                <w:highlight w:val="white"/>
              </w:rPr>
            </w:r>
          </w:p>
        </w:tc>
        <w:tc>
          <w:tcPr>
            <w:tcW w:w="5332" w:type="dxa"/>
            <w:noWrap w:val="false"/>
            <w:textDirection w:val="lrTb"/>
            <w:vAlign w:val="center"/>
          </w:tcPr>
          <w:p>
            <w:pPr>
              <w:rPr>
                <w:rFonts w:ascii="Arial" w:hAnsi="Arial" w:cs="Arial"/>
                <w:sz w:val="20"/>
                <w:szCs w:val="20"/>
                <w:highlight w:val="white"/>
              </w:rPr>
            </w:pPr>
            <w:r>
              <w:rPr>
                <w:rFonts w:ascii="Arial" w:hAnsi="Arial" w:cs="Arial"/>
                <w:sz w:val="20"/>
                <w:szCs w:val="20"/>
                <w:highlight w:val="white"/>
              </w:rPr>
              <w:t xml:space="preserve">СС КонсультантСудебнаяПрактика: Суды общей юрисдикции всех округов</w:t>
            </w:r>
            <w:r>
              <w:rPr>
                <w:rFonts w:ascii="Arial" w:hAnsi="Arial" w:cs="Arial"/>
                <w:sz w:val="20"/>
                <w:szCs w:val="20"/>
                <w:highlight w:val="white"/>
              </w:rPr>
            </w:r>
            <w:r>
              <w:rPr>
                <w:rFonts w:ascii="Arial" w:hAnsi="Arial" w:cs="Arial"/>
                <w:sz w:val="20"/>
                <w:szCs w:val="20"/>
                <w:highlight w:val="white"/>
              </w:rPr>
            </w:r>
          </w:p>
        </w:tc>
        <w:tc>
          <w:tcPr>
            <w:tcW w:w="1701" w:type="dxa"/>
            <w:noWrap w:val="false"/>
            <w:textDirection w:val="lrTb"/>
            <w:vAlign w:val="center"/>
          </w:tcPr>
          <w:p>
            <w:pPr>
              <w:jc w:val="center"/>
              <w:rPr>
                <w:b w:val="0"/>
                <w:bCs w:val="0"/>
                <w:sz w:val="20"/>
                <w:szCs w:val="20"/>
                <w:highlight w:val="white"/>
              </w:rPr>
            </w:pPr>
            <w:r>
              <w:rPr>
                <w:b w:val="0"/>
                <w:bCs w:val="0"/>
                <w:sz w:val="20"/>
                <w:szCs w:val="20"/>
                <w:highlight w:val="white"/>
              </w:rPr>
            </w:r>
            <w:r>
              <w:rPr>
                <w:rFonts w:ascii="Arial" w:hAnsi="Arial" w:cs="Arial"/>
                <w:b w:val="0"/>
                <w:bCs w:val="0"/>
                <w:sz w:val="20"/>
                <w:szCs w:val="20"/>
                <w:highlight w:val="white"/>
              </w:rPr>
              <w:t xml:space="preserve">ОВМ10</w:t>
            </w:r>
            <w:r>
              <w:rPr>
                <w:b w:val="0"/>
                <w:bCs w:val="0"/>
                <w:sz w:val="20"/>
                <w:szCs w:val="20"/>
                <w:highlight w:val="white"/>
              </w:rPr>
            </w:r>
            <w:r>
              <w:rPr>
                <w:b w:val="0"/>
                <w:bCs w:val="0"/>
                <w:sz w:val="20"/>
                <w:szCs w:val="20"/>
                <w:highlight w:val="white"/>
              </w:rPr>
            </w:r>
          </w:p>
        </w:tc>
        <w:tc>
          <w:tcPr>
            <w:tcW w:w="850" w:type="dxa"/>
            <w:noWrap w:val="false"/>
            <w:textDirection w:val="lrTb"/>
            <w:vAlign w:val="center"/>
          </w:tcPr>
          <w:p>
            <w:pPr>
              <w:jc w:val="center"/>
              <w:rPr>
                <w:sz w:val="20"/>
                <w:szCs w:val="20"/>
                <w:highlight w:val="white"/>
              </w:rPr>
            </w:pPr>
            <w:r>
              <w:rPr>
                <w:sz w:val="20"/>
                <w:szCs w:val="20"/>
                <w:highlight w:val="white"/>
              </w:rPr>
              <w:t xml:space="preserve">1</w:t>
            </w:r>
            <w:r>
              <w:rPr>
                <w:sz w:val="20"/>
                <w:szCs w:val="20"/>
                <w:highlight w:val="white"/>
              </w:rPr>
            </w:r>
            <w:r>
              <w:rPr>
                <w:sz w:val="20"/>
                <w:szCs w:val="20"/>
                <w:highlight w:val="white"/>
              </w:rPr>
            </w:r>
          </w:p>
        </w:tc>
        <w:tc>
          <w:tcPr>
            <w:tcW w:w="1843" w:type="dxa"/>
            <w:noWrap w:val="false"/>
            <w:textDirection w:val="lrTb"/>
            <w:vAlign w:val="top"/>
          </w:tcPr>
          <w:p>
            <w:pPr>
              <w:pStyle w:val="909"/>
              <w:ind w:left="-50"/>
              <w:contextualSpacing/>
              <w:jc w:val="center"/>
              <w:rPr>
                <w:sz w:val="20"/>
                <w:szCs w:val="20"/>
                <w:highlight w:val="white"/>
              </w:rPr>
            </w:pPr>
            <w:r>
              <w:rPr>
                <w:sz w:val="20"/>
                <w:szCs w:val="20"/>
                <w:highlight w:val="white"/>
              </w:rPr>
            </w:r>
            <w:r>
              <w:rPr>
                <w:sz w:val="20"/>
                <w:szCs w:val="20"/>
                <w:highlight w:val="white"/>
              </w:rPr>
            </w:r>
            <w:r>
              <w:rPr>
                <w:sz w:val="20"/>
                <w:szCs w:val="20"/>
                <w:highlight w:val="white"/>
              </w:rPr>
            </w:r>
          </w:p>
        </w:tc>
      </w:tr>
      <w:tr>
        <w:trPr>
          <w:trHeight w:val="283"/>
        </w:trPr>
        <w:tblPrEx/>
        <w:tc>
          <w:tcPr>
            <w:tcW w:w="740" w:type="dxa"/>
            <w:noWrap w:val="false"/>
            <w:textDirection w:val="lrTb"/>
            <w:vAlign w:val="center"/>
          </w:tcPr>
          <w:p>
            <w:pPr>
              <w:pStyle w:val="909"/>
              <w:contextualSpacing/>
              <w:jc w:val="center"/>
              <w:rPr>
                <w:sz w:val="20"/>
                <w:szCs w:val="20"/>
                <w:highlight w:val="white"/>
              </w:rPr>
            </w:pPr>
            <w:r>
              <w:rPr>
                <w:sz w:val="20"/>
                <w:szCs w:val="20"/>
                <w:highlight w:val="white"/>
              </w:rPr>
              <w:t xml:space="preserve">13.</w:t>
            </w:r>
            <w:r>
              <w:rPr>
                <w:sz w:val="20"/>
                <w:szCs w:val="20"/>
                <w:highlight w:val="white"/>
              </w:rPr>
            </w:r>
            <w:r>
              <w:rPr>
                <w:sz w:val="20"/>
                <w:szCs w:val="20"/>
                <w:highlight w:val="white"/>
              </w:rPr>
            </w:r>
          </w:p>
        </w:tc>
        <w:tc>
          <w:tcPr>
            <w:tcW w:w="5332" w:type="dxa"/>
            <w:noWrap w:val="false"/>
            <w:textDirection w:val="lrTb"/>
            <w:vAlign w:val="center"/>
          </w:tcPr>
          <w:p>
            <w:pPr>
              <w:rPr>
                <w:rFonts w:ascii="Arial" w:hAnsi="Arial" w:eastAsia="Arial"/>
                <w:color w:val="000000"/>
                <w:sz w:val="20"/>
                <w:szCs w:val="20"/>
                <w:highlight w:val="white"/>
              </w:rPr>
            </w:pPr>
            <w:r>
              <w:rPr>
                <w:rFonts w:ascii="Arial" w:hAnsi="Arial" w:eastAsia="Arial"/>
                <w:color w:val="000000"/>
                <w:sz w:val="20"/>
                <w:szCs w:val="20"/>
                <w:highlight w:val="white"/>
              </w:rPr>
              <w:t xml:space="preserve">СС КонсультантПлюс: Технические нормы</w:t>
            </w:r>
            <w:r>
              <w:rPr>
                <w:rFonts w:ascii="Arial" w:hAnsi="Arial" w:eastAsia="Arial"/>
                <w:color w:val="000000"/>
                <w:sz w:val="20"/>
                <w:szCs w:val="20"/>
                <w:highlight w:val="white"/>
              </w:rPr>
            </w:r>
            <w:r>
              <w:rPr>
                <w:rFonts w:ascii="Arial" w:hAnsi="Arial" w:eastAsia="Arial"/>
                <w:color w:val="000000"/>
                <w:sz w:val="20"/>
                <w:szCs w:val="20"/>
                <w:highlight w:val="white"/>
              </w:rPr>
            </w:r>
          </w:p>
        </w:tc>
        <w:tc>
          <w:tcPr>
            <w:tcW w:w="1701" w:type="dxa"/>
            <w:noWrap w:val="false"/>
            <w:textDirection w:val="lrTb"/>
            <w:vAlign w:val="center"/>
          </w:tcPr>
          <w:p>
            <w:pPr>
              <w:jc w:val="center"/>
              <w:rPr>
                <w:b w:val="0"/>
                <w:bCs w:val="0"/>
                <w:sz w:val="20"/>
                <w:szCs w:val="20"/>
                <w:highlight w:val="white"/>
              </w:rPr>
            </w:pPr>
            <w:r>
              <w:rPr>
                <w:b w:val="0"/>
                <w:bCs w:val="0"/>
                <w:sz w:val="20"/>
                <w:szCs w:val="20"/>
                <w:highlight w:val="white"/>
              </w:rPr>
            </w:r>
            <w:r>
              <w:rPr>
                <w:rFonts w:ascii="Arial" w:hAnsi="Arial" w:cs="Arial"/>
                <w:b w:val="0"/>
                <w:bCs w:val="0"/>
                <w:sz w:val="20"/>
                <w:szCs w:val="20"/>
                <w:highlight w:val="white"/>
              </w:rPr>
              <w:t xml:space="preserve">ОВМ10</w:t>
            </w:r>
            <w:r>
              <w:rPr>
                <w:b w:val="0"/>
                <w:bCs w:val="0"/>
                <w:sz w:val="20"/>
                <w:szCs w:val="20"/>
                <w:highlight w:val="white"/>
              </w:rPr>
            </w:r>
            <w:r>
              <w:rPr>
                <w:b w:val="0"/>
                <w:bCs w:val="0"/>
                <w:sz w:val="20"/>
                <w:szCs w:val="20"/>
                <w:highlight w:val="white"/>
              </w:rPr>
            </w:r>
          </w:p>
        </w:tc>
        <w:tc>
          <w:tcPr>
            <w:tcW w:w="850" w:type="dxa"/>
            <w:noWrap w:val="false"/>
            <w:textDirection w:val="lrTb"/>
            <w:vAlign w:val="center"/>
          </w:tcPr>
          <w:p>
            <w:pPr>
              <w:jc w:val="center"/>
              <w:rPr>
                <w:sz w:val="20"/>
                <w:szCs w:val="20"/>
                <w:highlight w:val="white"/>
              </w:rPr>
            </w:pPr>
            <w:r>
              <w:rPr>
                <w:sz w:val="20"/>
                <w:szCs w:val="20"/>
                <w:highlight w:val="white"/>
              </w:rPr>
              <w:t xml:space="preserve">2</w:t>
            </w:r>
            <w:r>
              <w:rPr>
                <w:sz w:val="20"/>
                <w:szCs w:val="20"/>
                <w:highlight w:val="white"/>
              </w:rPr>
            </w:r>
            <w:r>
              <w:rPr>
                <w:sz w:val="20"/>
                <w:szCs w:val="20"/>
                <w:highlight w:val="white"/>
              </w:rPr>
            </w:r>
          </w:p>
        </w:tc>
        <w:tc>
          <w:tcPr>
            <w:tcW w:w="1843" w:type="dxa"/>
            <w:noWrap w:val="false"/>
            <w:textDirection w:val="lrTb"/>
            <w:vAlign w:val="top"/>
          </w:tcPr>
          <w:p>
            <w:pPr>
              <w:pStyle w:val="909"/>
              <w:ind w:left="-50"/>
              <w:contextualSpacing/>
              <w:jc w:val="center"/>
              <w:rPr>
                <w:sz w:val="20"/>
                <w:szCs w:val="20"/>
                <w:highlight w:val="white"/>
              </w:rPr>
            </w:pPr>
            <w:r>
              <w:rPr>
                <w:sz w:val="20"/>
                <w:szCs w:val="20"/>
                <w:highlight w:val="white"/>
              </w:rPr>
            </w:r>
            <w:r>
              <w:rPr>
                <w:sz w:val="20"/>
                <w:szCs w:val="20"/>
                <w:highlight w:val="white"/>
              </w:rPr>
            </w:r>
            <w:r>
              <w:rPr>
                <w:sz w:val="20"/>
                <w:szCs w:val="20"/>
                <w:highlight w:val="white"/>
              </w:rPr>
            </w:r>
          </w:p>
        </w:tc>
      </w:tr>
      <w:tr>
        <w:trPr>
          <w:trHeight w:val="283"/>
        </w:trPr>
        <w:tblPrEx/>
        <w:tc>
          <w:tcPr>
            <w:tcW w:w="740" w:type="dxa"/>
            <w:vMerge w:val="restart"/>
            <w:noWrap w:val="false"/>
            <w:textDirection w:val="lrTb"/>
            <w:vAlign w:val="center"/>
          </w:tcPr>
          <w:p>
            <w:pPr>
              <w:pStyle w:val="909"/>
              <w:contextualSpacing/>
              <w:jc w:val="center"/>
              <w:rPr>
                <w:sz w:val="20"/>
                <w:szCs w:val="20"/>
                <w:highlight w:val="white"/>
              </w:rPr>
            </w:pPr>
            <w:r>
              <w:rPr>
                <w:sz w:val="20"/>
                <w:szCs w:val="20"/>
                <w:highlight w:val="white"/>
              </w:rPr>
              <w:t xml:space="preserve">14.</w:t>
            </w:r>
            <w:r>
              <w:rPr>
                <w:sz w:val="20"/>
                <w:szCs w:val="20"/>
                <w:highlight w:val="white"/>
              </w:rPr>
            </w:r>
            <w:r>
              <w:rPr>
                <w:sz w:val="20"/>
                <w:szCs w:val="20"/>
                <w:highlight w:val="white"/>
              </w:rPr>
            </w:r>
          </w:p>
        </w:tc>
        <w:tc>
          <w:tcPr>
            <w:tcW w:w="5332" w:type="dxa"/>
            <w:vMerge w:val="restart"/>
            <w:noWrap w:val="false"/>
            <w:textDirection w:val="lrTb"/>
            <w:vAlign w:val="center"/>
          </w:tcPr>
          <w:p>
            <w:pPr>
              <w:rPr>
                <w:rFonts w:ascii="Arial" w:hAnsi="Arial" w:eastAsia="Arial"/>
                <w:b/>
                <w:color w:val="000000"/>
                <w:sz w:val="20"/>
                <w:szCs w:val="20"/>
                <w:highlight w:val="white"/>
              </w:rPr>
            </w:pPr>
            <w:r>
              <w:rPr>
                <w:rFonts w:ascii="Segoe UI" w:hAnsi="Segoe UI" w:eastAsia="Segoe UI"/>
                <w:color w:val="000000"/>
                <w:sz w:val="20"/>
                <w:szCs w:val="20"/>
                <w:highlight w:val="white"/>
              </w:rPr>
              <w:t xml:space="preserve">СС Деловые бумаги</w:t>
            </w:r>
            <w:r>
              <w:rPr>
                <w:rFonts w:ascii="Arial" w:hAnsi="Arial" w:eastAsia="Arial"/>
                <w:b/>
                <w:color w:val="000000"/>
                <w:sz w:val="20"/>
                <w:szCs w:val="20"/>
                <w:highlight w:val="white"/>
              </w:rPr>
            </w:r>
            <w:r>
              <w:rPr>
                <w:rFonts w:ascii="Arial" w:hAnsi="Arial" w:eastAsia="Arial"/>
                <w:b/>
                <w:color w:val="000000"/>
                <w:sz w:val="20"/>
                <w:szCs w:val="20"/>
                <w:highlight w:val="white"/>
              </w:rPr>
            </w:r>
          </w:p>
        </w:tc>
        <w:tc>
          <w:tcPr>
            <w:tcW w:w="1701" w:type="dxa"/>
            <w:vMerge w:val="restart"/>
            <w:noWrap w:val="false"/>
            <w:textDirection w:val="lrTb"/>
            <w:vAlign w:val="center"/>
          </w:tcPr>
          <w:p>
            <w:pPr>
              <w:jc w:val="center"/>
              <w:rPr>
                <w:b w:val="0"/>
                <w:bCs w:val="0"/>
                <w:sz w:val="20"/>
                <w:szCs w:val="20"/>
                <w:highlight w:val="white"/>
              </w:rPr>
            </w:pPr>
            <w:r>
              <w:rPr>
                <w:b w:val="0"/>
                <w:bCs w:val="0"/>
                <w:sz w:val="20"/>
                <w:szCs w:val="20"/>
                <w:highlight w:val="white"/>
              </w:rPr>
            </w:r>
            <w:r>
              <w:rPr>
                <w:rFonts w:ascii="Arial" w:hAnsi="Arial" w:cs="Arial"/>
                <w:b w:val="0"/>
                <w:bCs w:val="0"/>
                <w:sz w:val="20"/>
                <w:szCs w:val="20"/>
                <w:highlight w:val="white"/>
              </w:rPr>
              <w:t xml:space="preserve">ОВМ10</w:t>
            </w:r>
            <w:r>
              <w:rPr>
                <w:b w:val="0"/>
                <w:bCs w:val="0"/>
                <w:sz w:val="20"/>
                <w:szCs w:val="20"/>
                <w:highlight w:val="white"/>
              </w:rPr>
            </w:r>
            <w:r>
              <w:rPr>
                <w:b w:val="0"/>
                <w:bCs w:val="0"/>
                <w:sz w:val="20"/>
                <w:szCs w:val="20"/>
                <w:highlight w:val="white"/>
              </w:rPr>
            </w:r>
          </w:p>
        </w:tc>
        <w:tc>
          <w:tcPr>
            <w:tcW w:w="850" w:type="dxa"/>
            <w:vMerge w:val="restart"/>
            <w:noWrap w:val="false"/>
            <w:textDirection w:val="lrTb"/>
            <w:vAlign w:val="center"/>
          </w:tcPr>
          <w:p>
            <w:pPr>
              <w:jc w:val="center"/>
              <w:rPr>
                <w:sz w:val="20"/>
                <w:szCs w:val="20"/>
                <w:highlight w:val="white"/>
              </w:rPr>
            </w:pPr>
            <w:r>
              <w:rPr>
                <w:sz w:val="20"/>
                <w:szCs w:val="20"/>
                <w:highlight w:val="white"/>
              </w:rPr>
              <w:t xml:space="preserve">2</w:t>
            </w:r>
            <w:r>
              <w:rPr>
                <w:sz w:val="20"/>
                <w:szCs w:val="20"/>
                <w:highlight w:val="white"/>
              </w:rPr>
            </w:r>
            <w:r>
              <w:rPr>
                <w:sz w:val="20"/>
                <w:szCs w:val="20"/>
                <w:highlight w:val="white"/>
              </w:rPr>
            </w:r>
          </w:p>
        </w:tc>
        <w:tc>
          <w:tcPr>
            <w:tcW w:w="1843" w:type="dxa"/>
            <w:vMerge w:val="restart"/>
            <w:noWrap w:val="false"/>
            <w:textDirection w:val="lrTb"/>
            <w:vAlign w:val="top"/>
          </w:tcPr>
          <w:p>
            <w:pPr>
              <w:pStyle w:val="909"/>
              <w:ind w:left="-50"/>
              <w:contextualSpacing/>
              <w:jc w:val="center"/>
              <w:rPr>
                <w:sz w:val="20"/>
                <w:szCs w:val="20"/>
                <w:highlight w:val="white"/>
              </w:rPr>
            </w:pPr>
            <w:r>
              <w:rPr>
                <w:sz w:val="20"/>
                <w:szCs w:val="20"/>
                <w:highlight w:val="white"/>
              </w:rPr>
            </w:r>
            <w:r>
              <w:rPr>
                <w:sz w:val="20"/>
                <w:szCs w:val="20"/>
                <w:highlight w:val="white"/>
              </w:rPr>
            </w:r>
            <w:r>
              <w:rPr>
                <w:sz w:val="20"/>
                <w:szCs w:val="20"/>
                <w:highlight w:val="white"/>
              </w:rPr>
            </w:r>
          </w:p>
        </w:tc>
      </w:tr>
      <w:tr>
        <w:trPr>
          <w:trHeight w:val="283"/>
        </w:trPr>
        <w:tblPrEx/>
        <w:tc>
          <w:tcPr>
            <w:tcW w:w="740" w:type="dxa"/>
            <w:vMerge w:val="restart"/>
            <w:noWrap w:val="false"/>
            <w:textDirection w:val="lrTb"/>
            <w:vAlign w:val="center"/>
          </w:tcPr>
          <w:p>
            <w:pPr>
              <w:pStyle w:val="909"/>
              <w:contextualSpacing/>
              <w:jc w:val="center"/>
              <w:rPr>
                <w:sz w:val="20"/>
                <w:szCs w:val="20"/>
                <w:highlight w:val="white"/>
              </w:rPr>
            </w:pPr>
            <w:r>
              <w:rPr>
                <w:sz w:val="20"/>
                <w:szCs w:val="20"/>
                <w:highlight w:val="white"/>
              </w:rPr>
              <w:t xml:space="preserve">15</w:t>
            </w:r>
            <w:r>
              <w:rPr>
                <w:sz w:val="20"/>
                <w:szCs w:val="20"/>
                <w:highlight w:val="white"/>
              </w:rPr>
              <w:t xml:space="preserve">.</w:t>
            </w:r>
            <w:r>
              <w:rPr>
                <w:sz w:val="20"/>
                <w:szCs w:val="20"/>
                <w:highlight w:val="white"/>
              </w:rPr>
            </w:r>
            <w:r>
              <w:rPr>
                <w:sz w:val="20"/>
                <w:szCs w:val="20"/>
                <w:highlight w:val="white"/>
              </w:rPr>
            </w:r>
          </w:p>
        </w:tc>
        <w:tc>
          <w:tcPr>
            <w:tcW w:w="5332" w:type="dxa"/>
            <w:vMerge w:val="restart"/>
            <w:noWrap w:val="false"/>
            <w:textDirection w:val="lrTb"/>
            <w:vAlign w:val="center"/>
          </w:tcPr>
          <w:p>
            <w:pPr>
              <w:rPr>
                <w:rFonts w:ascii="Arial" w:hAnsi="Arial" w:eastAsia="Arial"/>
                <w:color w:val="000000"/>
                <w:sz w:val="20"/>
                <w:szCs w:val="20"/>
                <w:highlight w:val="white"/>
              </w:rPr>
            </w:pPr>
            <w:r>
              <w:rPr>
                <w:rFonts w:ascii="Arial" w:hAnsi="Arial" w:eastAsia="Arial"/>
                <w:color w:val="000000"/>
                <w:sz w:val="20"/>
                <w:szCs w:val="20"/>
                <w:highlight w:val="white"/>
              </w:rPr>
              <w:t xml:space="preserve">СС Перспективы и риски арбитражных споров</w:t>
            </w:r>
            <w:r>
              <w:rPr>
                <w:rFonts w:ascii="Arial" w:hAnsi="Arial" w:eastAsia="Arial"/>
                <w:color w:val="000000"/>
                <w:sz w:val="20"/>
                <w:szCs w:val="20"/>
                <w:highlight w:val="white"/>
              </w:rPr>
            </w:r>
            <w:r>
              <w:rPr>
                <w:rFonts w:ascii="Arial" w:hAnsi="Arial" w:eastAsia="Arial"/>
                <w:color w:val="000000"/>
                <w:sz w:val="20"/>
                <w:szCs w:val="20"/>
                <w:highlight w:val="white"/>
              </w:rPr>
            </w:r>
          </w:p>
        </w:tc>
        <w:tc>
          <w:tcPr>
            <w:tcW w:w="1701" w:type="dxa"/>
            <w:vMerge w:val="restart"/>
            <w:noWrap w:val="false"/>
            <w:textDirection w:val="lrTb"/>
            <w:vAlign w:val="center"/>
          </w:tcPr>
          <w:p>
            <w:pPr>
              <w:jc w:val="center"/>
              <w:rPr>
                <w:b w:val="0"/>
                <w:bCs w:val="0"/>
                <w:sz w:val="20"/>
                <w:szCs w:val="20"/>
                <w:highlight w:val="white"/>
              </w:rPr>
            </w:pPr>
            <w:r>
              <w:rPr>
                <w:b w:val="0"/>
                <w:bCs w:val="0"/>
                <w:sz w:val="20"/>
                <w:szCs w:val="20"/>
                <w:highlight w:val="white"/>
              </w:rPr>
            </w:r>
            <w:r>
              <w:rPr>
                <w:rFonts w:ascii="Arial" w:hAnsi="Arial" w:cs="Arial"/>
                <w:b w:val="0"/>
                <w:bCs w:val="0"/>
                <w:sz w:val="20"/>
                <w:szCs w:val="20"/>
                <w:highlight w:val="white"/>
              </w:rPr>
              <w:t xml:space="preserve">ОВМ10</w:t>
            </w:r>
            <w:r>
              <w:rPr>
                <w:b w:val="0"/>
                <w:bCs w:val="0"/>
                <w:sz w:val="20"/>
                <w:szCs w:val="20"/>
                <w:highlight w:val="white"/>
              </w:rPr>
            </w:r>
            <w:r>
              <w:rPr>
                <w:b w:val="0"/>
                <w:bCs w:val="0"/>
                <w:sz w:val="20"/>
                <w:szCs w:val="20"/>
                <w:highlight w:val="white"/>
              </w:rPr>
            </w:r>
          </w:p>
        </w:tc>
        <w:tc>
          <w:tcPr>
            <w:tcW w:w="850" w:type="dxa"/>
            <w:vMerge w:val="restart"/>
            <w:noWrap w:val="false"/>
            <w:textDirection w:val="lrTb"/>
            <w:vAlign w:val="center"/>
          </w:tcPr>
          <w:p>
            <w:pPr>
              <w:jc w:val="center"/>
              <w:rPr>
                <w:sz w:val="20"/>
                <w:szCs w:val="20"/>
                <w:highlight w:val="white"/>
              </w:rPr>
            </w:pPr>
            <w:r>
              <w:rPr>
                <w:sz w:val="20"/>
                <w:szCs w:val="20"/>
                <w:highlight w:val="white"/>
              </w:rPr>
              <w:t xml:space="preserve">1</w:t>
            </w:r>
            <w:r>
              <w:rPr>
                <w:sz w:val="20"/>
                <w:szCs w:val="20"/>
                <w:highlight w:val="white"/>
              </w:rPr>
            </w:r>
            <w:r>
              <w:rPr>
                <w:sz w:val="20"/>
                <w:szCs w:val="20"/>
                <w:highlight w:val="white"/>
              </w:rPr>
            </w:r>
          </w:p>
        </w:tc>
        <w:tc>
          <w:tcPr>
            <w:tcW w:w="1843" w:type="dxa"/>
            <w:vMerge w:val="restart"/>
            <w:noWrap w:val="false"/>
            <w:textDirection w:val="lrTb"/>
            <w:vAlign w:val="top"/>
          </w:tcPr>
          <w:p>
            <w:pPr>
              <w:pStyle w:val="909"/>
              <w:ind w:left="-50"/>
              <w:contextualSpacing/>
              <w:jc w:val="center"/>
              <w:rPr>
                <w:sz w:val="20"/>
                <w:szCs w:val="20"/>
                <w:highlight w:val="white"/>
              </w:rPr>
            </w:pPr>
            <w:r>
              <w:rPr>
                <w:sz w:val="20"/>
                <w:szCs w:val="20"/>
                <w:highlight w:val="white"/>
              </w:rPr>
            </w:r>
            <w:r>
              <w:rPr>
                <w:sz w:val="20"/>
                <w:szCs w:val="20"/>
                <w:highlight w:val="white"/>
              </w:rPr>
            </w:r>
            <w:r>
              <w:rPr>
                <w:sz w:val="20"/>
                <w:szCs w:val="20"/>
                <w:highlight w:val="white"/>
              </w:rPr>
            </w:r>
          </w:p>
        </w:tc>
      </w:tr>
      <w:tr>
        <w:trPr>
          <w:trHeight w:val="283"/>
        </w:trPr>
        <w:tblPrEx/>
        <w:tc>
          <w:tcPr>
            <w:tcW w:w="8624" w:type="dxa"/>
            <w:gridSpan w:val="4"/>
            <w:noWrap w:val="false"/>
            <w:textDirection w:val="lrTb"/>
            <w:vAlign w:val="bottom"/>
          </w:tcPr>
          <w:p>
            <w:pPr>
              <w:pStyle w:val="909"/>
              <w:ind w:left="-50"/>
              <w:contextualSpacing/>
              <w:jc w:val="right"/>
              <w:rPr>
                <w:b/>
                <w:sz w:val="20"/>
                <w:szCs w:val="20"/>
                <w:highlight w:val="white"/>
              </w:rPr>
            </w:pPr>
            <w:r>
              <w:rPr>
                <w:b/>
                <w:sz w:val="20"/>
                <w:szCs w:val="20"/>
                <w:highlight w:val="white"/>
              </w:rPr>
              <w:t xml:space="preserve">Итого в месяц:</w:t>
            </w:r>
            <w:r>
              <w:rPr>
                <w:b/>
                <w:sz w:val="20"/>
                <w:szCs w:val="20"/>
                <w:highlight w:val="white"/>
              </w:rPr>
            </w:r>
            <w:r>
              <w:rPr>
                <w:b/>
                <w:sz w:val="20"/>
                <w:szCs w:val="20"/>
                <w:highlight w:val="white"/>
              </w:rPr>
            </w:r>
          </w:p>
        </w:tc>
        <w:tc>
          <w:tcPr>
            <w:tcW w:w="1843" w:type="dxa"/>
            <w:noWrap w:val="false"/>
            <w:textDirection w:val="lrTb"/>
            <w:vAlign w:val="top"/>
          </w:tcPr>
          <w:p>
            <w:pPr>
              <w:pStyle w:val="909"/>
              <w:ind w:left="-50"/>
              <w:contextualSpacing/>
              <w:jc w:val="center"/>
              <w:rPr>
                <w:b/>
                <w:sz w:val="20"/>
                <w:szCs w:val="20"/>
                <w:highlight w:val="white"/>
              </w:rPr>
            </w:pPr>
            <w:r>
              <w:rPr>
                <w:b/>
                <w:sz w:val="20"/>
                <w:szCs w:val="20"/>
                <w:highlight w:val="white"/>
              </w:rPr>
            </w:r>
            <w:r>
              <w:rPr>
                <w:b/>
                <w:sz w:val="20"/>
                <w:szCs w:val="20"/>
                <w:highlight w:val="white"/>
              </w:rPr>
            </w:r>
            <w:r>
              <w:rPr>
                <w:b/>
                <w:sz w:val="20"/>
                <w:szCs w:val="20"/>
                <w:highlight w:val="white"/>
              </w:rPr>
            </w:r>
          </w:p>
        </w:tc>
      </w:tr>
    </w:tbl>
    <w:p>
      <w:pPr>
        <w:widowControl w:val="off"/>
        <w:jc w:val="both"/>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p>
      <w:pPr>
        <w:widowControl w:val="off"/>
        <w:numPr>
          <w:numId w:val="20"/>
          <w:ilvl w:val="0"/>
        </w:numPr>
        <w:tabs>
          <w:tab w:val="left" w:pos="360" w:leader="none"/>
        </w:tabs>
        <w:jc w:val="center"/>
        <w:rPr>
          <w:rFonts w:ascii="Arial" w:hAnsi="Arial" w:cs="Arial"/>
          <w:sz w:val="20"/>
          <w:szCs w:val="20"/>
          <w:highlight w:val="white"/>
        </w:rPr>
      </w:pPr>
      <w:r>
        <w:rPr>
          <w:rFonts w:ascii="Arial" w:hAnsi="Arial" w:cs="Arial"/>
          <w:sz w:val="20"/>
          <w:szCs w:val="20"/>
          <w:highlight w:val="white"/>
        </w:rPr>
        <w:t xml:space="preserve">О</w:t>
      </w:r>
      <w:r>
        <w:rPr>
          <w:rFonts w:ascii="Arial" w:hAnsi="Arial" w:cs="Arial"/>
          <w:sz w:val="20"/>
          <w:szCs w:val="20"/>
          <w:highlight w:val="white"/>
        </w:rPr>
        <w:t xml:space="preserve">ПЛАТА</w:t>
      </w:r>
      <w:r>
        <w:rPr>
          <w:rFonts w:ascii="Arial" w:hAnsi="Arial" w:cs="Arial"/>
          <w:sz w:val="20"/>
          <w:szCs w:val="20"/>
          <w:highlight w:val="white"/>
        </w:rPr>
      </w:r>
      <w:r>
        <w:rPr>
          <w:rFonts w:ascii="Arial" w:hAnsi="Arial" w:cs="Arial"/>
          <w:sz w:val="20"/>
          <w:szCs w:val="20"/>
          <w:highlight w:val="white"/>
        </w:rPr>
      </w:r>
    </w:p>
    <w:p>
      <w:pPr>
        <w:pStyle w:val="920"/>
        <w:ind w:firstLine="0"/>
        <w:jc w:val="both"/>
        <w:rPr>
          <w:rFonts w:ascii="Arial" w:hAnsi="Arial" w:cs="Arial"/>
          <w:sz w:val="20"/>
          <w:szCs w:val="20"/>
          <w:highlight w:val="white"/>
        </w:rPr>
      </w:pPr>
      <w:r>
        <w:rPr>
          <w:rFonts w:ascii="Arial" w:hAnsi="Arial" w:cs="Arial"/>
          <w:sz w:val="20"/>
          <w:szCs w:val="20"/>
          <w:highlight w:val="white"/>
        </w:rPr>
        <w:t xml:space="preserve">1.1. </w:t>
      </w:r>
      <w:r>
        <w:rPr>
          <w:sz w:val="20"/>
          <w:szCs w:val="20"/>
          <w:highlight w:val="white"/>
        </w:rPr>
        <w:t xml:space="preserve">Общая </w:t>
      </w:r>
      <w:r>
        <w:rPr>
          <w:sz w:val="20"/>
          <w:szCs w:val="20"/>
          <w:highlight w:val="white"/>
        </w:rPr>
        <w:t xml:space="preserve">стоимость </w:t>
      </w:r>
      <w:r>
        <w:rPr>
          <w:sz w:val="20"/>
          <w:szCs w:val="20"/>
          <w:highlight w:val="white"/>
        </w:rPr>
        <w:t xml:space="preserve">услуг</w:t>
      </w:r>
      <w:r>
        <w:rPr>
          <w:sz w:val="20"/>
          <w:szCs w:val="20"/>
          <w:highlight w:val="white"/>
        </w:rPr>
        <w:t xml:space="preserve"> по адаптации и сопровождению экземпляров Систем, а также срок оплаты определяется в </w:t>
      </w:r>
      <w:r>
        <w:rPr>
          <w:sz w:val="20"/>
          <w:szCs w:val="20"/>
          <w:highlight w:val="white"/>
        </w:rPr>
        <w:t xml:space="preserve">Договоре</w:t>
      </w:r>
      <w:r>
        <w:rPr>
          <w:sz w:val="20"/>
          <w:szCs w:val="20"/>
          <w:highlight w:val="white"/>
        </w:rPr>
        <w:t xml:space="preserve">. </w:t>
      </w:r>
      <w:r>
        <w:rPr>
          <w:rFonts w:ascii="Arial" w:hAnsi="Arial" w:cs="Arial"/>
          <w:sz w:val="20"/>
          <w:szCs w:val="20"/>
          <w:highlight w:val="white"/>
        </w:rPr>
      </w:r>
      <w:r>
        <w:rPr>
          <w:rFonts w:ascii="Arial" w:hAnsi="Arial" w:cs="Arial"/>
          <w:sz w:val="20"/>
          <w:szCs w:val="20"/>
          <w:highlight w:val="white"/>
        </w:rPr>
      </w:r>
    </w:p>
    <w:p>
      <w:pPr>
        <w:tabs>
          <w:tab w:val="left" w:pos="426" w:leader="none"/>
        </w:tabs>
        <w:jc w:val="both"/>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p>
      <w:pPr>
        <w:widowControl w:val="off"/>
        <w:numPr>
          <w:numId w:val="20"/>
          <w:ilvl w:val="0"/>
        </w:numPr>
        <w:tabs>
          <w:tab w:val="left" w:pos="360" w:leader="none"/>
        </w:tabs>
        <w:jc w:val="center"/>
        <w:rPr>
          <w:rFonts w:ascii="Arial" w:hAnsi="Arial" w:cs="Arial"/>
          <w:sz w:val="20"/>
          <w:szCs w:val="20"/>
          <w:highlight w:val="white"/>
        </w:rPr>
      </w:pPr>
      <w:r>
        <w:rPr>
          <w:rFonts w:ascii="Arial" w:hAnsi="Arial" w:cs="Arial"/>
          <w:sz w:val="20"/>
          <w:szCs w:val="20"/>
          <w:highlight w:val="white"/>
        </w:rPr>
        <w:t xml:space="preserve">А</w:t>
      </w:r>
      <w:r>
        <w:rPr>
          <w:rFonts w:ascii="Arial" w:hAnsi="Arial" w:cs="Arial"/>
          <w:sz w:val="20"/>
          <w:szCs w:val="20"/>
          <w:highlight w:val="white"/>
        </w:rPr>
        <w:t xml:space="preserve">ДАПТАЦИЯ</w:t>
      </w:r>
      <w:r>
        <w:rPr>
          <w:rFonts w:ascii="Arial" w:hAnsi="Arial" w:cs="Arial"/>
          <w:sz w:val="20"/>
          <w:szCs w:val="20"/>
          <w:highlight w:val="white"/>
        </w:rPr>
      </w:r>
      <w:r>
        <w:rPr>
          <w:rFonts w:ascii="Arial" w:hAnsi="Arial" w:cs="Arial"/>
          <w:sz w:val="20"/>
          <w:szCs w:val="20"/>
          <w:highlight w:val="white"/>
        </w:rPr>
      </w:r>
    </w:p>
    <w:p>
      <w:pPr>
        <w:pStyle w:val="920"/>
        <w:ind w:firstLine="0"/>
        <w:jc w:val="both"/>
        <w:rPr>
          <w:sz w:val="20"/>
          <w:szCs w:val="20"/>
          <w:highlight w:val="white"/>
        </w:rPr>
      </w:pPr>
      <w:r>
        <w:rPr>
          <w:sz w:val="20"/>
          <w:szCs w:val="20"/>
          <w:highlight w:val="white"/>
        </w:rPr>
        <w:t xml:space="preserve">2.1. </w:t>
      </w:r>
      <w:r>
        <w:t xml:space="preserve">Адаптация (регистрация и иные действия согласно Договору).</w:t>
      </w:r>
      <w:r>
        <w:t xml:space="preserve"> Для организации </w:t>
      </w:r>
      <w:r>
        <w:t xml:space="preserve">сопровождения</w:t>
      </w:r>
      <w:r>
        <w:t xml:space="preserve"> экземпляры Систем</w:t>
      </w:r>
      <w:r>
        <w:t xml:space="preserve">, включая специальную копию Систем,</w:t>
      </w:r>
      <w:r>
        <w:t xml:space="preserve"> регистрируются и адаптируются на ЭВМ Заказчика, ЭВМ Исполнителя, ЭВМ Разработчика Систем.</w:t>
      </w:r>
      <w:r>
        <w:rPr>
          <w:sz w:val="20"/>
          <w:szCs w:val="20"/>
          <w:highlight w:val="white"/>
        </w:rPr>
        <w:t xml:space="preserve">.</w:t>
      </w:r>
      <w:r>
        <w:rPr>
          <w:sz w:val="20"/>
          <w:szCs w:val="20"/>
          <w:highlight w:val="white"/>
        </w:rPr>
      </w:r>
      <w:r>
        <w:rPr>
          <w:sz w:val="20"/>
          <w:szCs w:val="20"/>
          <w:highlight w:val="white"/>
        </w:rPr>
      </w:r>
    </w:p>
    <w:p>
      <w:pPr>
        <w:pStyle w:val="920"/>
        <w:ind w:firstLine="0"/>
        <w:jc w:val="both"/>
        <w:rPr>
          <w:sz w:val="20"/>
          <w:szCs w:val="20"/>
          <w:highlight w:val="none"/>
        </w:rPr>
      </w:pPr>
      <w:r>
        <w:rPr>
          <w:sz w:val="20"/>
          <w:szCs w:val="20"/>
          <w:highlight w:val="white"/>
        </w:rPr>
        <w:t xml:space="preserve">2.2. </w:t>
      </w:r>
      <w:r>
        <w:t xml:space="preserve">Условия и порядок первичной регистрации на ЭВМ. Экземпляры Систем, указанные в настоящей Спецификации, предназначены для организации </w:t>
      </w:r>
      <w:r>
        <w:t xml:space="preserve">подключения</w:t>
      </w:r>
      <w:r>
        <w:t xml:space="preserve"> к Систем</w:t>
      </w:r>
      <w:r>
        <w:t xml:space="preserve">ам посредством регистрации (адаптации) на ЭВМ Заказчика, ЭВМ Исполнителя, ЭВМ Разработчика Систем. После перенастройки и только на основании отдельной Спецификации указанные экземпляры Систем могут использоваться на ЭВМ ЛВС Заказчика. Разработчиком могут о</w:t>
      </w:r>
      <w:r>
        <w:t xml:space="preserve">пределяться особенности перенастройки экземпляров Систем и их последующей работы на ЭВМ ЛВС. ЛВС - локальная вычислительная сеть, соединяющая две или более ЭВМ (возможно, разного типа), расположенные в пределах одного здания или нескольких соседних зданий</w:t>
      </w:r>
      <w:r>
        <w:rPr>
          <w:sz w:val="20"/>
          <w:szCs w:val="20"/>
          <w:highlight w:val="white"/>
        </w:rPr>
        <w:t xml:space="preserve">.</w:t>
      </w:r>
      <w:r>
        <w:rPr>
          <w:sz w:val="20"/>
          <w:szCs w:val="20"/>
          <w:highlight w:val="none"/>
        </w:rPr>
      </w:r>
      <w:r>
        <w:rPr>
          <w:sz w:val="20"/>
          <w:szCs w:val="20"/>
          <w:highlight w:val="none"/>
        </w:rPr>
      </w:r>
    </w:p>
    <w:p>
      <w:pPr>
        <w:pStyle w:val="920"/>
        <w:ind w:firstLine="0"/>
        <w:jc w:val="both"/>
        <w:rPr>
          <w:sz w:val="20"/>
          <w:szCs w:val="20"/>
          <w:highlight w:val="white"/>
        </w:rPr>
      </w:pPr>
      <w:r>
        <w:rPr>
          <w:sz w:val="20"/>
          <w:szCs w:val="20"/>
          <w:highlight w:val="none"/>
        </w:rPr>
        <w:t xml:space="preserve">2.3. </w:t>
      </w:r>
      <w:r>
        <w:t xml:space="preserve">Условия и порядок </w:t>
      </w:r>
      <w:r>
        <w:t xml:space="preserve">дополнительной перерегистрации</w:t>
      </w:r>
      <w:r>
        <w:t xml:space="preserve"> (адаптации) на ЭВМ в рамках сопровождения. Исполнитель обеспечивает администрирование специального АРМ администратора учетных записей пользователей и в рамках данного процесса </w:t>
      </w:r>
      <w:r>
        <w:t xml:space="preserve">при необходимости </w:t>
      </w:r>
      <w:r>
        <w:t xml:space="preserve">проводит дополнительную регулярную </w:t>
      </w:r>
      <w:r>
        <w:t xml:space="preserve">перерегистрацию</w:t>
      </w:r>
      <w:r>
        <w:t xml:space="preserve"> (адаптацию) экземпляров на ЭВМ Заказчика, ЭВМ Исполнителя, ЭВМ Разработчика Систем</w:t>
      </w:r>
      <w:r>
        <w:t xml:space="preserve"> при сбоях и в других необходимых случаях.</w:t>
      </w:r>
      <w:r>
        <w:t xml:space="preserve"> По запросу Заказчика АРМ администратора учетных записей пользователей может быть </w:t>
      </w:r>
      <w:r>
        <w:t xml:space="preserve">предоставлено</w:t>
      </w:r>
      <w:r>
        <w:t xml:space="preserve"> Заказчику</w:t>
      </w:r>
      <w:r>
        <w:t xml:space="preserve">.</w:t>
      </w:r>
      <w:r>
        <w:rPr>
          <w:sz w:val="20"/>
          <w:szCs w:val="20"/>
          <w:highlight w:val="none"/>
        </w:rPr>
      </w:r>
      <w:r>
        <w:rPr>
          <w:sz w:val="20"/>
          <w:szCs w:val="20"/>
          <w:highlight w:val="white"/>
        </w:rPr>
      </w:r>
    </w:p>
    <w:p>
      <w:pPr>
        <w:pStyle w:val="920"/>
        <w:ind w:firstLine="0"/>
        <w:jc w:val="both"/>
        <w:rPr>
          <w:sz w:val="20"/>
          <w:szCs w:val="20"/>
          <w:highlight w:val="white"/>
        </w:rPr>
      </w:pPr>
      <w:r>
        <w:rPr>
          <w:sz w:val="20"/>
          <w:szCs w:val="20"/>
          <w:highlight w:val="white"/>
        </w:rPr>
      </w:r>
      <w:r>
        <w:rPr>
          <w:sz w:val="20"/>
          <w:szCs w:val="20"/>
          <w:highlight w:val="white"/>
        </w:rPr>
      </w:r>
      <w:r>
        <w:rPr>
          <w:sz w:val="20"/>
          <w:szCs w:val="20"/>
          <w:highlight w:val="white"/>
        </w:rPr>
      </w:r>
    </w:p>
    <w:p>
      <w:pPr>
        <w:pStyle w:val="931"/>
        <w:widowControl w:val="off"/>
        <w:numPr>
          <w:numId w:val="20"/>
          <w:ilvl w:val="0"/>
        </w:numPr>
        <w:tabs>
          <w:tab w:val="left" w:pos="360" w:leader="none"/>
        </w:tabs>
        <w:jc w:val="center"/>
        <w:rPr>
          <w:rFonts w:ascii="Arial" w:hAnsi="Arial" w:cs="Arial"/>
          <w:sz w:val="20"/>
          <w:szCs w:val="20"/>
          <w:highlight w:val="white"/>
        </w:rPr>
      </w:pPr>
      <w:r>
        <w:rPr>
          <w:sz w:val="20"/>
          <w:szCs w:val="20"/>
          <w:highlight w:val="white"/>
        </w:rPr>
      </w:r>
      <w:bookmarkStart w:id="0" w:name="undefined"/>
      <w:r>
        <w:rPr>
          <w:rFonts w:ascii="Arial" w:hAnsi="Arial" w:cs="Arial"/>
          <w:sz w:val="20"/>
          <w:szCs w:val="20"/>
          <w:highlight w:val="white"/>
        </w:rPr>
        <w:t xml:space="preserve">ПОРЯДОК ПОДКЛЮЧЕНИЯ И ИСПОЛЬЗОВАНИЯ ЭКЗЕМПЛЯРОВ СИСТЕМ</w:t>
      </w:r>
      <w:bookmarkEnd w:id="0"/>
      <w:r>
        <w:rPr>
          <w:rFonts w:ascii="Arial" w:hAnsi="Arial" w:cs="Arial"/>
          <w:sz w:val="20"/>
          <w:szCs w:val="20"/>
          <w:highlight w:val="white"/>
        </w:rPr>
      </w:r>
      <w:r>
        <w:rPr>
          <w:rFonts w:ascii="Arial" w:hAnsi="Arial" w:cs="Arial"/>
          <w:sz w:val="20"/>
          <w:szCs w:val="20"/>
          <w:highlight w:val="white"/>
        </w:rPr>
      </w:r>
    </w:p>
    <w:p>
      <w:pPr>
        <w:pStyle w:val="920"/>
        <w:ind w:firstLine="0"/>
        <w:jc w:val="both"/>
        <w:rPr>
          <w14:ligatures w14:val="none"/>
        </w:rPr>
      </w:pPr>
      <w:r>
        <w:rPr>
          <w:sz w:val="20"/>
          <w:szCs w:val="20"/>
          <w:highlight w:val="white"/>
        </w:rPr>
      </w:r>
      <w:bookmarkStart w:id="0" w:name="undefined"/>
      <w:r>
        <w:rPr>
          <w:sz w:val="17"/>
          <w:szCs w:val="17"/>
        </w:rPr>
        <w:t xml:space="preserve">3.</w:t>
      </w:r>
      <w:r>
        <w:rPr>
          <w:sz w:val="17"/>
          <w:szCs w:val="17"/>
        </w:rPr>
        <w:t xml:space="preserve">1. </w:t>
      </w:r>
      <w:r>
        <w:t xml:space="preserve">Подключение комплекта Систем. Исполнитель осуществляет подключение комплекта Систем в течение трех дней со дня регистрации. </w:t>
      </w:r>
      <w:bookmarkEnd w:id="0"/>
      <w:r>
        <w:rPr>
          <w14:ligatures w14:val="none"/>
        </w:rPr>
      </w:r>
      <w:r>
        <w:rPr>
          <w14:ligatures w14:val="none"/>
        </w:rPr>
      </w:r>
    </w:p>
    <w:p>
      <w:pPr>
        <w:pStyle w:val="920"/>
        <w:ind w:firstLine="0"/>
        <w:jc w:val="both"/>
        <w:rPr>
          <w:sz w:val="20"/>
          <w:szCs w:val="20"/>
          <w14:ligatures w14:val="none"/>
        </w:rPr>
      </w:pPr>
      <w:r>
        <w:rPr>
          <w:sz w:val="20"/>
          <w:szCs w:val="20"/>
        </w:rPr>
      </w:r>
      <w:bookmarkStart w:id="0" w:name="undefined"/>
      <w:r>
        <w:rPr>
          <w:sz w:val="20"/>
          <w:szCs w:val="20"/>
        </w:rPr>
        <w:t xml:space="preserve">3.2. </w:t>
      </w:r>
      <w:r>
        <w:rPr>
          <w:sz w:val="20"/>
          <w:szCs w:val="20"/>
        </w:rPr>
        <w:t xml:space="preserve">Разрешенные передачи. Заказчик не вправе передавать экземпляр Системы третьему лицу</w:t>
      </w:r>
      <w:r>
        <w:rPr>
          <w:sz w:val="20"/>
          <w:szCs w:val="20"/>
        </w:rPr>
        <w:t xml:space="preserve">.</w:t>
      </w:r>
      <w:bookmarkEnd w:id="0"/>
      <w:r>
        <w:rPr>
          <w:sz w:val="20"/>
          <w:szCs w:val="20"/>
          <w14:ligatures w14:val="none"/>
        </w:rPr>
      </w:r>
      <w:r>
        <w:rPr>
          <w:sz w:val="20"/>
          <w:szCs w:val="20"/>
          <w14:ligatures w14:val="none"/>
        </w:rPr>
      </w:r>
    </w:p>
    <w:p>
      <w:pPr>
        <w:pStyle w:val="920"/>
        <w:ind w:firstLine="0"/>
        <w:jc w:val="both"/>
        <w:rPr>
          <w:sz w:val="20"/>
          <w:szCs w:val="20"/>
          <w14:ligatures w14:val="none"/>
        </w:rPr>
      </w:pPr>
      <w:r>
        <w:rPr>
          <w:sz w:val="20"/>
          <w:szCs w:val="20"/>
        </w:rPr>
      </w:r>
      <w:r>
        <w:rPr>
          <w:sz w:val="20"/>
          <w:szCs w:val="20"/>
        </w:rPr>
        <w:t xml:space="preserve">3.3. Электронный адрес для направления Заказчику информации: </w:t>
      </w:r>
      <w:r>
        <w:rPr>
          <w:sz w:val="20"/>
          <w:szCs w:val="20"/>
        </w:rPr>
        <w:t xml:space="preserve">__________@_______________</w:t>
      </w:r>
      <w:r>
        <w:rPr>
          <w:sz w:val="20"/>
          <w:szCs w:val="20"/>
        </w:rPr>
        <w:t xml:space="preserve">. В случае изменения электронного адреса Заказчик направляет Исполнителю письменное уведомление</w:t>
      </w:r>
      <w:r>
        <w:rPr>
          <w:sz w:val="20"/>
          <w:szCs w:val="20"/>
        </w:rPr>
        <w:t xml:space="preserve">.</w:t>
      </w:r>
      <w:r>
        <w:rPr>
          <w:sz w:val="20"/>
          <w:szCs w:val="20"/>
          <w14:ligatures w14:val="none"/>
        </w:rPr>
      </w:r>
      <w:r>
        <w:rPr>
          <w:sz w:val="20"/>
          <w:szCs w:val="20"/>
          <w14:ligatures w14:val="none"/>
        </w:rPr>
      </w:r>
    </w:p>
    <w:p>
      <w:pPr>
        <w:pStyle w:val="920"/>
        <w:ind w:firstLine="0"/>
        <w:jc w:val="both"/>
        <w:rPr>
          <w:sz w:val="20"/>
          <w:szCs w:val="20"/>
          <w14:ligatures w14:val="none"/>
        </w:rPr>
      </w:pPr>
      <w:r>
        <w:rPr>
          <w:sz w:val="20"/>
          <w:szCs w:val="20"/>
        </w:rPr>
      </w:r>
      <w:r>
        <w:rPr>
          <w:sz w:val="20"/>
          <w:szCs w:val="20"/>
        </w:rPr>
        <w:t xml:space="preserve">3.4. Организация подключения. При осуществлении регистрации и адаптации Исполнитель:</w:t>
      </w:r>
      <w:r>
        <w:rPr>
          <w:sz w:val="20"/>
          <w:szCs w:val="20"/>
        </w:rPr>
      </w:r>
      <w:r>
        <w:rPr>
          <w:sz w:val="20"/>
          <w:szCs w:val="20"/>
          <w14:ligatures w14:val="none"/>
        </w:rPr>
      </w:r>
    </w:p>
    <w:p>
      <w:pPr>
        <w:pStyle w:val="920"/>
        <w:ind w:firstLine="0"/>
        <w:jc w:val="both"/>
        <w:rPr>
          <w:sz w:val="20"/>
          <w:szCs w:val="20"/>
          <w14:ligatures w14:val="none"/>
        </w:rPr>
      </w:pPr>
      <w:r>
        <w:rPr>
          <w:sz w:val="20"/>
          <w:szCs w:val="20"/>
        </w:rPr>
        <w:t xml:space="preserve">3.4.1. </w:t>
      </w:r>
      <w:r>
        <w:rPr>
          <w:sz w:val="20"/>
          <w:szCs w:val="20"/>
        </w:rPr>
        <w:t xml:space="preserve">Согласно п. 2.2 и п. 2.3 настоящей Спецификации обеспечивает Заказчику возможность использования комплекта с числом УЗ и числом ОД, определенными настоящей Спецификацией.</w:t>
      </w:r>
      <w:r>
        <w:rPr>
          <w:sz w:val="20"/>
          <w:szCs w:val="20"/>
        </w:rPr>
      </w:r>
      <w:r>
        <w:rPr>
          <w:sz w:val="20"/>
          <w:szCs w:val="20"/>
          <w14:ligatures w14:val="none"/>
        </w:rPr>
      </w:r>
    </w:p>
    <w:p>
      <w:pPr>
        <w:pStyle w:val="920"/>
        <w:ind w:firstLine="0"/>
        <w:jc w:val="both"/>
        <w:rPr>
          <w:sz w:val="20"/>
          <w:szCs w:val="20"/>
          <w14:ligatures w14:val="none"/>
        </w:rPr>
      </w:pPr>
      <w:r>
        <w:rPr>
          <w:sz w:val="20"/>
          <w:szCs w:val="20"/>
        </w:rPr>
        <w:t xml:space="preserve">3.4.2. </w:t>
      </w:r>
      <w:r>
        <w:rPr>
          <w:sz w:val="20"/>
          <w:szCs w:val="20"/>
        </w:rPr>
        <w:t xml:space="preserve">Сохраняет реквизиты УЗ в специальной копии Системы</w:t>
      </w:r>
      <w:r>
        <w:rPr>
          <w:sz w:val="20"/>
          <w:szCs w:val="20"/>
        </w:rPr>
        <w:t xml:space="preserve">.</w:t>
      </w:r>
      <w:r>
        <w:rPr>
          <w:sz w:val="20"/>
          <w:szCs w:val="20"/>
        </w:rPr>
      </w:r>
      <w:r>
        <w:rPr>
          <w:sz w:val="20"/>
          <w:szCs w:val="20"/>
          <w14:ligatures w14:val="none"/>
        </w:rPr>
      </w:r>
    </w:p>
    <w:p>
      <w:pPr>
        <w:pStyle w:val="920"/>
        <w:ind w:firstLine="0"/>
        <w:jc w:val="both"/>
        <w:rPr>
          <w:sz w:val="20"/>
          <w:szCs w:val="20"/>
          <w14:ligatures w14:val="none"/>
        </w:rPr>
      </w:pPr>
      <w:r>
        <w:rPr>
          <w:sz w:val="20"/>
          <w:szCs w:val="20"/>
        </w:rPr>
        <w:t xml:space="preserve">3.4.3. </w:t>
      </w:r>
      <w:r>
        <w:rPr>
          <w:sz w:val="20"/>
          <w:szCs w:val="20"/>
        </w:rPr>
        <w:t xml:space="preserve">Регистрирует АРМ администратора учетных записей пользователей для организации сопровождения </w:t>
      </w:r>
      <w:r>
        <w:rPr>
          <w:sz w:val="20"/>
          <w:szCs w:val="20"/>
        </w:rPr>
        <w:t xml:space="preserve">Систем, в т.ч. формирует, адаптирует и модифицирует базу данных учетных записей пользователей</w:t>
      </w:r>
      <w:r>
        <w:rPr>
          <w:sz w:val="20"/>
          <w:szCs w:val="20"/>
        </w:rPr>
        <w:t xml:space="preserve">.</w:t>
      </w:r>
      <w:r>
        <w:rPr>
          <w:sz w:val="20"/>
          <w:szCs w:val="20"/>
        </w:rPr>
      </w:r>
      <w:r>
        <w:rPr>
          <w:sz w:val="20"/>
          <w:szCs w:val="20"/>
          <w14:ligatures w14:val="none"/>
        </w:rPr>
      </w:r>
    </w:p>
    <w:p>
      <w:pPr>
        <w:pStyle w:val="920"/>
        <w:numPr>
          <w:numId w:val="0"/>
          <w:ilvl w:val="0"/>
        </w:numPr>
        <w:tabs>
          <w:tab w:val="clear" w:pos="360" w:leader="none"/>
        </w:tabs>
        <w:ind w:firstLine="0"/>
        <w:jc w:val="both"/>
        <w:rPr>
          <w:sz w:val="17"/>
          <w:szCs w:val="17"/>
          <w14:ligatures w14:val="none"/>
        </w:rPr>
      </w:pPr>
      <w:r>
        <w:rPr>
          <w:sz w:val="20"/>
          <w:szCs w:val="20"/>
        </w:rPr>
        <w:t xml:space="preserve">3.5. </w:t>
      </w:r>
      <w:r>
        <w:rPr>
          <w:sz w:val="20"/>
          <w:szCs w:val="20"/>
        </w:rPr>
        <w:t xml:space="preserve">Изменение УЗ. Исполнитель вправе заменять УЗ по собственной инициативе с одновременным уведомлением Заказчика открытым электронным сообщением на электронный адр</w:t>
      </w:r>
      <w:r>
        <w:rPr>
          <w:sz w:val="20"/>
          <w:szCs w:val="20"/>
        </w:rPr>
        <w:t xml:space="preserve">ес Заказчика, указанный в п. 3.3</w:t>
      </w:r>
      <w:r>
        <w:rPr>
          <w:sz w:val="20"/>
          <w:szCs w:val="20"/>
        </w:rPr>
        <w:t xml:space="preserve">.</w:t>
      </w:r>
      <w:r>
        <w:rPr>
          <w:sz w:val="20"/>
          <w:szCs w:val="20"/>
        </w:rPr>
      </w:r>
      <w:r>
        <w:rPr>
          <w:sz w:val="17"/>
          <w:szCs w:val="17"/>
          <w14:ligatures w14:val="none"/>
        </w:rPr>
      </w:r>
    </w:p>
    <w:p>
      <w:pPr>
        <w:pStyle w:val="920"/>
        <w:numPr>
          <w:numId w:val="0"/>
          <w:ilvl w:val="0"/>
        </w:numPr>
        <w:tabs>
          <w:tab w:val="clear" w:pos="360" w:leader="none"/>
        </w:tabs>
        <w:ind w:firstLine="0"/>
        <w:jc w:val="both"/>
        <w:rPr>
          <w:sz w:val="20"/>
          <w:szCs w:val="20"/>
          <w14:ligatures w14:val="none"/>
        </w:rPr>
      </w:pPr>
      <w:r>
        <w:rPr>
          <w:sz w:val="20"/>
          <w:szCs w:val="20"/>
        </w:rPr>
        <w:t xml:space="preserve">3.6. </w:t>
      </w:r>
      <w:r>
        <w:rPr>
          <w:sz w:val="20"/>
          <w:szCs w:val="20"/>
        </w:rPr>
        <w:t xml:space="preserve">Передача УЗ. Заказчик вправе передавать реквизиты УЗ только своим Уникальным пользователям в соответствии с условиями Договора и Спецификации. По запросу Исполнителя Заказчик обязан предоставлять Исполнителю информацию об Уникальных </w:t>
      </w:r>
      <w:r>
        <w:rPr>
          <w:sz w:val="20"/>
          <w:szCs w:val="20"/>
        </w:rPr>
        <w:t xml:space="preserve">пользователях, которым была передана УЗ. Заказчик обязан обеспечить конфиденциальность УЗ. Заказчик не вправе предоставлять возможность использования Системы(м) лицам и/или способами, не предусмотренными настоящим п. 3.6 Спецификации.</w:t>
      </w:r>
      <w:r>
        <w:rPr>
          <w:sz w:val="20"/>
          <w:szCs w:val="20"/>
        </w:rPr>
      </w:r>
      <w:r>
        <w:rPr>
          <w:sz w:val="20"/>
          <w:szCs w:val="20"/>
          <w14:ligatures w14:val="none"/>
        </w:rPr>
      </w:r>
    </w:p>
    <w:p>
      <w:pPr>
        <w:pStyle w:val="920"/>
        <w:numPr>
          <w:numId w:val="0"/>
          <w:ilvl w:val="0"/>
        </w:numPr>
        <w:tabs>
          <w:tab w:val="clear" w:pos="360" w:leader="none"/>
        </w:tabs>
        <w:ind w:firstLine="0"/>
        <w:jc w:val="both"/>
        <w:rPr>
          <w:sz w:val="17"/>
          <w:szCs w:val="17"/>
          <w14:ligatures w14:val="none"/>
        </w:rPr>
      </w:pPr>
      <w:r>
        <w:rPr>
          <w:sz w:val="20"/>
          <w:szCs w:val="20"/>
        </w:rPr>
        <w:t xml:space="preserve">3.7. </w:t>
      </w:r>
      <w:r>
        <w:rPr>
          <w:sz w:val="20"/>
          <w:szCs w:val="20"/>
        </w:rPr>
        <w:t xml:space="preserve">Блокирование УЗ. Заказчик вправе в любое время заблокировать УЗ путем смены ее реквизитов. Заказчик обязан заблокировать УЗ в следующих случаях:</w:t>
      </w:r>
      <w:r>
        <w:rPr>
          <w:sz w:val="20"/>
          <w:szCs w:val="20"/>
        </w:rPr>
      </w:r>
      <w:r>
        <w:rPr>
          <w:sz w:val="17"/>
          <w:szCs w:val="17"/>
          <w14:ligatures w14:val="none"/>
        </w:rPr>
      </w:r>
    </w:p>
    <w:p>
      <w:pPr>
        <w:pStyle w:val="920"/>
        <w:ind w:left="0" w:firstLine="0"/>
        <w:jc w:val="both"/>
        <w:rPr>
          <w:sz w:val="17"/>
          <w:szCs w:val="17"/>
          <w14:ligatures w14:val="none"/>
        </w:rPr>
      </w:pPr>
      <w:r>
        <w:rPr>
          <w:sz w:val="20"/>
          <w:szCs w:val="20"/>
        </w:rPr>
        <w:t xml:space="preserve">В случае прекращения трудовых отношений с Уникальным пользователем, получившим учетную запись, - в течение одного рабочего дня с момента прекращения трудовых отношений;</w:t>
      </w:r>
      <w:r>
        <w:rPr>
          <w:sz w:val="20"/>
          <w:szCs w:val="20"/>
        </w:rPr>
      </w:r>
      <w:r>
        <w:rPr>
          <w:sz w:val="17"/>
          <w:szCs w:val="17"/>
          <w14:ligatures w14:val="none"/>
        </w:rPr>
      </w:r>
    </w:p>
    <w:p>
      <w:pPr>
        <w:pStyle w:val="920"/>
        <w:numPr>
          <w:numId w:val="0"/>
          <w:ilvl w:val="0"/>
        </w:numPr>
        <w:tabs>
          <w:tab w:val="clear" w:pos="360" w:leader="none"/>
        </w:tabs>
        <w:ind w:firstLine="0"/>
        <w:jc w:val="both"/>
        <w:rPr>
          <w:sz w:val="20"/>
          <w:szCs w:val="20"/>
          <w14:ligatures w14:val="none"/>
        </w:rPr>
      </w:pPr>
      <w:r>
        <w:rPr>
          <w:sz w:val="20"/>
          <w:szCs w:val="20"/>
        </w:rPr>
        <w:t xml:space="preserve">В случае действительного или потенциального нарушения конфиденциальности реквизитов учетной записи - незамедлительно при получении соответствующей информации.</w:t>
      </w:r>
      <w:r>
        <w:rPr>
          <w:sz w:val="20"/>
          <w:szCs w:val="20"/>
        </w:rPr>
      </w:r>
      <w:r>
        <w:rPr>
          <w:sz w:val="20"/>
          <w:szCs w:val="20"/>
          <w14:ligatures w14:val="none"/>
        </w:rPr>
      </w:r>
    </w:p>
    <w:p>
      <w:pPr>
        <w:pStyle w:val="920"/>
        <w:numPr>
          <w:numId w:val="0"/>
          <w:ilvl w:val="0"/>
        </w:numPr>
        <w:tabs>
          <w:tab w:val="clear" w:pos="360" w:leader="none"/>
        </w:tabs>
        <w:ind w:firstLine="0"/>
        <w:jc w:val="both"/>
        <w:rPr>
          <w:sz w:val="20"/>
          <w:szCs w:val="20"/>
          <w14:ligatures w14:val="none"/>
        </w:rPr>
      </w:pPr>
      <w:r>
        <w:rPr>
          <w:sz w:val="20"/>
          <w:szCs w:val="20"/>
        </w:rPr>
        <w:t xml:space="preserve">3.8. </w:t>
      </w:r>
      <w:r>
        <w:rPr>
          <w:sz w:val="20"/>
          <w:szCs w:val="20"/>
        </w:rPr>
        <w:t xml:space="preserve">Конфиденциальность. Заказчик обязан обеспечивать конфиденциальность УЗ. Нарушениями конфиденциальности, являющимися грубыми нарушениями прав на объект(</w:t>
      </w:r>
      <w:r>
        <w:rPr>
          <w:sz w:val="20"/>
          <w:szCs w:val="20"/>
        </w:rPr>
        <w:t xml:space="preserve">ы) интеллектуальной собственности, в частности, признаются: передача (разглашение) реквизитов УЗ лицу, которое не является Уникальным пользователем, а также несвоевременная блокировка УЗ при прекращении трудовых отношений с бывшим Уникальным пользователем.</w:t>
      </w:r>
      <w:r>
        <w:rPr>
          <w:sz w:val="20"/>
          <w:szCs w:val="20"/>
        </w:rPr>
      </w:r>
      <w:r>
        <w:rPr>
          <w:sz w:val="20"/>
          <w:szCs w:val="20"/>
          <w14:ligatures w14:val="none"/>
        </w:rPr>
      </w:r>
    </w:p>
    <w:p>
      <w:pPr>
        <w:pStyle w:val="920"/>
        <w:numPr>
          <w:numId w:val="0"/>
          <w:ilvl w:val="0"/>
        </w:numPr>
        <w:tabs>
          <w:tab w:val="clear" w:pos="360" w:leader="none"/>
        </w:tabs>
        <w:ind w:firstLine="0"/>
        <w:jc w:val="both"/>
        <w:rPr>
          <w:sz w:val="20"/>
          <w:szCs w:val="20"/>
          <w14:ligatures w14:val="none"/>
        </w:rPr>
      </w:pPr>
      <w:r>
        <w:rPr>
          <w:sz w:val="20"/>
          <w:szCs w:val="20"/>
        </w:rPr>
        <w:t xml:space="preserve">3.9. </w:t>
      </w:r>
      <w:r>
        <w:rPr>
          <w:sz w:val="20"/>
          <w:szCs w:val="20"/>
        </w:rPr>
        <w:t xml:space="preserve">Параметры использов</w:t>
      </w:r>
      <w:r>
        <w:rPr>
          <w:sz w:val="20"/>
          <w:szCs w:val="20"/>
        </w:rPr>
        <w:t xml:space="preserve">ания комплекта. Разработчик Систем самостоятельно определяет параметры использования Систем и вправе в одностороннем порядке их изменять. С актуальными параметрами Заказчик вправе ознакомиться в разделе справочной информации о комплекте в электронном виде.</w:t>
      </w:r>
      <w:r>
        <w:rPr>
          <w:sz w:val="20"/>
          <w:szCs w:val="20"/>
        </w:rPr>
      </w:r>
      <w:r>
        <w:rPr>
          <w:sz w:val="20"/>
          <w:szCs w:val="20"/>
          <w14:ligatures w14:val="none"/>
        </w:rPr>
      </w:r>
    </w:p>
    <w:p>
      <w:pPr>
        <w:pStyle w:val="920"/>
        <w:numPr>
          <w:numId w:val="0"/>
          <w:ilvl w:val="0"/>
        </w:numPr>
        <w:tabs>
          <w:tab w:val="clear" w:pos="360" w:leader="none"/>
        </w:tabs>
        <w:ind w:firstLine="0"/>
        <w:jc w:val="both"/>
        <w:rPr>
          <w:sz w:val="20"/>
          <w:szCs w:val="20"/>
          <w14:ligatures w14:val="none"/>
        </w:rPr>
      </w:pPr>
      <w:r>
        <w:rPr>
          <w:sz w:val="20"/>
          <w:szCs w:val="20"/>
        </w:rPr>
        <w:t xml:space="preserve">3.10. </w:t>
      </w:r>
      <w:r>
        <w:rPr>
          <w:sz w:val="20"/>
          <w:szCs w:val="20"/>
        </w:rPr>
        <w:t xml:space="preserve">Возобновление. В случае отказа Заказчика от услуг с использованием экземпляра Системы возможность использования Заказчиком д</w:t>
      </w:r>
      <w:r>
        <w:rPr>
          <w:sz w:val="20"/>
          <w:szCs w:val="20"/>
        </w:rPr>
        <w:t xml:space="preserve">анной Системы блокируется, оказание Заказчику любых услуг с использованием данного экземпляра Системы может быть осуществлено Исполнителем только при наличии технической возможности после оплаты Заказчиком стоимости возобновления оказания услуг по Прейскур</w:t>
      </w:r>
      <w:r>
        <w:rPr>
          <w:sz w:val="20"/>
          <w:szCs w:val="20"/>
        </w:rPr>
        <w:t xml:space="preserve">анту Исполнителя. Оказание Заказчику любых услуг с использованием иных Систем, включенных в один комплект с Системой, в отношении экземпляра которой Заказчик отказался от услуг, может быть продолжено Исполнителем только при наличии технической возможности.</w:t>
      </w:r>
      <w:r>
        <w:rPr>
          <w:sz w:val="20"/>
          <w:szCs w:val="20"/>
        </w:rPr>
      </w:r>
      <w:r>
        <w:rPr>
          <w:sz w:val="20"/>
          <w:szCs w:val="20"/>
          <w14:ligatures w14:val="none"/>
        </w:rPr>
      </w:r>
    </w:p>
    <w:p>
      <w:pPr>
        <w:pStyle w:val="920"/>
        <w:numPr>
          <w:numId w:val="0"/>
          <w:ilvl w:val="0"/>
        </w:numPr>
        <w:tabs>
          <w:tab w:val="clear" w:pos="360" w:leader="none"/>
        </w:tabs>
        <w:ind w:firstLine="0"/>
        <w:jc w:val="both"/>
      </w:pPr>
      <w:r>
        <w:rPr>
          <w:sz w:val="20"/>
          <w:szCs w:val="20"/>
        </w:rPr>
        <w:t xml:space="preserve">3.11. </w:t>
      </w:r>
      <w:r>
        <w:rPr>
          <w:sz w:val="20"/>
          <w:szCs w:val="20"/>
        </w:rPr>
        <w:t xml:space="preserve">Интерфейсные сообщения. Система может содержать информационное сообщение о наименовании и местонахождении правомерного пользователя комплек</w:t>
      </w:r>
      <w:r>
        <w:t xml:space="preserve">та Систем. Сообщение может быть показано не чаще одного раза в 24 часа.</w:t>
      </w:r>
    </w:p>
    <w:p>
      <w:pPr>
        <w:pStyle w:val="939"/>
        <w:numPr>
          <w:numId w:val="0"/>
          <w:ilvl w:val="0"/>
        </w:numPr>
        <w:ind w:left="0" w:firstLine="0"/>
        <w:jc w:val="left"/>
      </w:pPr>
      <w:r>
        <w:rPr>
          <w:highlight w:val="none"/>
        </w:rPr>
      </w:r>
      <w:r>
        <w:rPr>
          <w:highlight w:val="none"/>
        </w:rPr>
      </w:r>
    </w:p>
    <w:p>
      <w:pPr>
        <w:pStyle w:val="939"/>
        <w:numPr>
          <w:numId w:val="0"/>
          <w:ilvl w:val="0"/>
        </w:numPr>
        <w:ind w:left="0" w:firstLine="0"/>
        <w:jc w:val="left"/>
        <w:rPr>
          <w:sz w:val="17"/>
          <w:szCs w:val="17"/>
        </w:rPr>
      </w:pPr>
      <w:r>
        <w:rPr>
          <w:sz w:val="17"/>
          <w:szCs w:val="17"/>
          <w:highlight w:val="none"/>
        </w:rPr>
      </w:r>
      <w:r>
        <w:rPr>
          <w:sz w:val="17"/>
          <w:szCs w:val="17"/>
          <w:highlight w:val="none"/>
        </w:rPr>
      </w:r>
      <w:r>
        <w:rPr>
          <w:sz w:val="17"/>
          <w:szCs w:val="17"/>
        </w:rPr>
      </w:r>
    </w:p>
    <w:p>
      <w:pPr>
        <w:widowControl w:val="off"/>
        <w:tabs>
          <w:tab w:val="left" w:pos="360" w:leader="none"/>
        </w:tabs>
        <w:ind w:left="0" w:firstLine="0"/>
        <w:jc w:val="both"/>
        <w:rPr>
          <w:rFonts w:ascii="Arial" w:hAnsi="Arial" w:cs="Arial"/>
          <w:sz w:val="20"/>
          <w:szCs w:val="20"/>
          <w:highlight w:val="white"/>
        </w:rPr>
      </w:pPr>
      <w:r>
        <w:rPr>
          <w:highlight w:val="none"/>
        </w:rPr>
      </w:r>
      <w:r>
        <w:rPr>
          <w:highlight w:val="none"/>
        </w:rPr>
      </w:r>
      <w:r>
        <w:rPr>
          <w:rFonts w:ascii="Arial" w:hAnsi="Arial" w:cs="Arial"/>
          <w:sz w:val="20"/>
          <w:szCs w:val="20"/>
          <w:highlight w:val="white"/>
        </w:rPr>
      </w:r>
    </w:p>
    <w:p>
      <w:pPr>
        <w:widowControl w:val="off"/>
        <w:numPr>
          <w:numId w:val="20"/>
          <w:ilvl w:val="0"/>
        </w:numPr>
        <w:tabs>
          <w:tab w:val="left" w:pos="360" w:leader="none"/>
        </w:tabs>
        <w:jc w:val="center"/>
        <w:rPr>
          <w:rFonts w:ascii="Arial" w:hAnsi="Arial" w:cs="Arial"/>
          <w:sz w:val="20"/>
          <w:szCs w:val="20"/>
          <w:highlight w:val="white"/>
        </w:rPr>
      </w:pPr>
      <w:r>
        <w:rPr>
          <w:sz w:val="20"/>
          <w:szCs w:val="20"/>
          <w:highlight w:val="white"/>
        </w:rPr>
      </w:r>
      <w:bookmarkStart w:id="0" w:name="undefined"/>
      <w:r>
        <w:rPr>
          <w:rFonts w:ascii="Arial" w:hAnsi="Arial" w:cs="Arial"/>
          <w:sz w:val="20"/>
          <w:szCs w:val="20"/>
          <w:highlight w:val="white"/>
        </w:rPr>
        <w:t xml:space="preserve">ОСОБЕННОСТИ ОКАЗАНИЯ УСЛУГ</w:t>
      </w:r>
      <w:r>
        <w:rPr>
          <w:rFonts w:ascii="Arial" w:hAnsi="Arial" w:cs="Arial"/>
          <w:sz w:val="20"/>
          <w:szCs w:val="20"/>
          <w:highlight w:val="white"/>
        </w:rPr>
      </w:r>
      <w:r>
        <w:rPr>
          <w:rFonts w:ascii="Arial" w:hAnsi="Arial" w:cs="Arial"/>
          <w:sz w:val="20"/>
          <w:szCs w:val="20"/>
          <w:highlight w:val="white"/>
        </w:rPr>
      </w:r>
    </w:p>
    <w:p>
      <w:pPr>
        <w:pStyle w:val="920"/>
        <w:numPr>
          <w:numId w:val="0"/>
          <w:ilvl w:val="0"/>
        </w:numPr>
        <w:tabs>
          <w:tab w:val="clear" w:pos="360" w:leader="none"/>
        </w:tabs>
        <w:ind w:firstLine="0"/>
        <w:jc w:val="both"/>
        <w:rPr>
          <w:sz w:val="17"/>
          <w:szCs w:val="17"/>
          <w14:ligatures w14:val="none"/>
        </w:rPr>
      </w:pPr>
      <w:r>
        <w:t xml:space="preserve">4.1. </w:t>
      </w:r>
      <w:r>
        <w:t xml:space="preserve">Режим обслуживания. Исполнитель обеспечивает возможность использования комплекта Систем 24 часа в сутки 7 дней в неделю, за исключением времени перерывов в предоставлении услуг, связанных с заменой оборудования, прог</w:t>
      </w:r>
      <w:r>
        <w:t xml:space="preserve">раммного обеспечения и/или проведения других ремонтных или планово-профилактических работ на серверном оборудовании. Использование комплекта возможно под управлением специальной копии Системы с электронного устройства Заказчика, на котором она установлена.</w:t>
      </w:r>
      <w:r>
        <w:rPr>
          <w:sz w:val="17"/>
          <w:szCs w:val="17"/>
          <w14:ligatures w14:val="none"/>
        </w:rPr>
      </w:r>
    </w:p>
    <w:p>
      <w:pPr>
        <w:pStyle w:val="920"/>
        <w:numPr>
          <w:numId w:val="0"/>
          <w:ilvl w:val="0"/>
        </w:numPr>
        <w:tabs>
          <w:tab w:val="clear" w:pos="360" w:leader="none"/>
        </w:tabs>
        <w:ind w:firstLine="0"/>
        <w:jc w:val="both"/>
        <w:rPr>
          <w14:ligatures w14:val="none"/>
        </w:rPr>
      </w:pPr>
      <w:r>
        <w:t xml:space="preserve">4.2. </w:t>
      </w:r>
      <w:r>
        <w:t xml:space="preserve">Объем сопровождения. Услуги Исполнителя предусматривают:</w:t>
      </w:r>
      <w:r>
        <w:rPr>
          <w14:ligatures w14:val="none"/>
        </w:rPr>
      </w:r>
    </w:p>
    <w:p>
      <w:pPr>
        <w:pStyle w:val="920"/>
        <w:numPr>
          <w:numId w:val="0"/>
          <w:ilvl w:val="0"/>
        </w:numPr>
        <w:tabs>
          <w:tab w:val="clear" w:pos="360" w:leader="none"/>
        </w:tabs>
        <w:ind w:firstLine="0"/>
        <w:jc w:val="both"/>
        <w:rPr>
          <w:sz w:val="17"/>
          <w:szCs w:val="17"/>
          <w14:ligatures w14:val="none"/>
        </w:rPr>
      </w:pPr>
      <w:r>
        <w:t xml:space="preserve">4.2.1. Предоставление Заказчику актуальной информации путем сопровождения зарегистрированных экземпляров Систем и в том числе </w:t>
      </w:r>
      <w:r>
        <w:t xml:space="preserve">специальной</w:t>
      </w:r>
      <w:r>
        <w:t xml:space="preserve"> копии Системы</w:t>
      </w:r>
      <w:r>
        <w:t xml:space="preserve">.</w:t>
      </w:r>
      <w:r>
        <w:rPr>
          <w:sz w:val="17"/>
          <w:szCs w:val="17"/>
          <w14:ligatures w14:val="none"/>
        </w:rPr>
      </w:r>
    </w:p>
    <w:p>
      <w:pPr>
        <w:pStyle w:val="920"/>
        <w:numPr>
          <w:numId w:val="0"/>
          <w:ilvl w:val="0"/>
        </w:numPr>
        <w:tabs>
          <w:tab w:val="clear" w:pos="360" w:leader="none"/>
        </w:tabs>
        <w:ind w:firstLine="0"/>
        <w:jc w:val="both"/>
        <w:rPr>
          <w:sz w:val="17"/>
          <w:szCs w:val="17"/>
          <w14:ligatures w14:val="none"/>
        </w:rPr>
      </w:pPr>
      <w:r>
        <w:t xml:space="preserve">4.2.2. Предоставление Заказчику возможности получения консультаций по работе Систем по телефону, по электронной почте, через специальные сервисы и базы данных либо в офисе Исполнителя.</w:t>
      </w:r>
      <w:r>
        <w:rPr>
          <w:sz w:val="17"/>
          <w:szCs w:val="17"/>
          <w14:ligatures w14:val="none"/>
        </w:rPr>
      </w:r>
    </w:p>
    <w:p>
      <w:pPr>
        <w:pStyle w:val="920"/>
        <w:numPr>
          <w:numId w:val="0"/>
          <w:ilvl w:val="0"/>
        </w:numPr>
        <w:tabs>
          <w:tab w:val="clear" w:pos="360" w:leader="none"/>
        </w:tabs>
        <w:ind w:firstLine="0"/>
        <w:jc w:val="both"/>
        <w:rPr>
          <w:sz w:val="17"/>
          <w:szCs w:val="17"/>
          <w14:ligatures w14:val="none"/>
        </w:rPr>
      </w:pPr>
      <w:r>
        <w:t xml:space="preserve">4.2.3. Администрирование специального АРМ администратора учетных записей пользователей, адаптацию и модификацию базы данных учетных записей пользователей, с использованием которой Исполнитель сопровождает экземпляры Систем.</w:t>
      </w:r>
      <w:r>
        <w:rPr>
          <w:sz w:val="17"/>
          <w:szCs w:val="17"/>
          <w14:ligatures w14:val="none"/>
        </w:rPr>
      </w:r>
    </w:p>
    <w:p>
      <w:pPr>
        <w:pStyle w:val="920"/>
        <w:numPr>
          <w:numId w:val="0"/>
          <w:ilvl w:val="0"/>
        </w:numPr>
        <w:tabs>
          <w:tab w:val="clear" w:pos="360" w:leader="none"/>
        </w:tabs>
        <w:ind w:firstLine="0"/>
        <w:jc w:val="both"/>
        <w:rPr>
          <w:sz w:val="17"/>
          <w:szCs w:val="17"/>
          <w14:ligatures w14:val="none"/>
        </w:rPr>
      </w:pPr>
      <w:r>
        <w:t xml:space="preserve">4.2.4. С использованием АРМ администратора учетных записей пользователей и базы данных учетных записей пользователей восстановление персональных настроек</w:t>
      </w:r>
      <w:r>
        <w:t xml:space="preserve"> Заказчика</w:t>
      </w:r>
      <w:r>
        <w:t xml:space="preserve"> (папок, закладок, документов на контроле, комментариев пользователей в текстах документов).</w:t>
      </w:r>
      <w:r>
        <w:rPr>
          <w:sz w:val="17"/>
          <w:szCs w:val="17"/>
          <w14:ligatures w14:val="none"/>
        </w:rPr>
      </w:r>
    </w:p>
    <w:p>
      <w:pPr>
        <w:pStyle w:val="920"/>
        <w:numPr>
          <w:numId w:val="0"/>
          <w:ilvl w:val="0"/>
        </w:numPr>
        <w:tabs>
          <w:tab w:val="clear" w:pos="360" w:leader="none"/>
        </w:tabs>
        <w:ind w:firstLine="0"/>
        <w:jc w:val="both"/>
        <w:rPr>
          <w:sz w:val="17"/>
          <w:szCs w:val="17"/>
          <w14:ligatures w14:val="none"/>
        </w:rPr>
      </w:pPr>
      <w:r>
        <w:t xml:space="preserve">4.2.5. Изменение </w:t>
      </w:r>
      <w:r>
        <w:t xml:space="preserve">реквизитов УЗ</w:t>
      </w:r>
      <w:r>
        <w:t xml:space="preserve">, сохраненных в </w:t>
      </w:r>
      <w:r>
        <w:t xml:space="preserve">специальной</w:t>
      </w:r>
      <w:r>
        <w:t xml:space="preserve"> копии Системы.</w:t>
      </w:r>
      <w:r>
        <w:rPr>
          <w:sz w:val="17"/>
          <w:szCs w:val="17"/>
          <w14:ligatures w14:val="none"/>
        </w:rPr>
      </w:r>
    </w:p>
    <w:p>
      <w:pPr>
        <w:pStyle w:val="920"/>
        <w:numPr>
          <w:numId w:val="0"/>
          <w:ilvl w:val="0"/>
        </w:numPr>
        <w:tabs>
          <w:tab w:val="clear" w:pos="360" w:leader="none"/>
        </w:tabs>
        <w:ind w:firstLine="0"/>
        <w:jc w:val="both"/>
        <w:rPr>
          <w:sz w:val="17"/>
          <w:szCs w:val="17"/>
          <w14:ligatures w14:val="none"/>
        </w:rPr>
      </w:pPr>
      <w:r>
        <w:t xml:space="preserve">4.2.6. Выполнение иных действий, предоставление другой информации и материалов, предусмотренных Договором.</w:t>
      </w:r>
      <w:r>
        <w:rPr>
          <w:sz w:val="17"/>
          <w:szCs w:val="17"/>
          <w14:ligatures w14:val="none"/>
        </w:rPr>
      </w:r>
    </w:p>
    <w:p>
      <w:pPr>
        <w:pStyle w:val="920"/>
        <w:numPr>
          <w:numId w:val="0"/>
          <w:ilvl w:val="0"/>
        </w:numPr>
        <w:tabs>
          <w:tab w:val="clear" w:pos="360" w:leader="none"/>
        </w:tabs>
        <w:ind w:firstLine="0"/>
        <w:jc w:val="both"/>
        <w:rPr>
          <w:sz w:val="17"/>
          <w:szCs w:val="17"/>
          <w14:ligatures w14:val="none"/>
        </w:rPr>
      </w:pPr>
      <w:r>
        <w:t xml:space="preserve">4.3. Условия сопровождения. Услуги с использованием экземпляра дополнительной Системы предоставляются Исполнителем только при условии о</w:t>
      </w:r>
      <w:r>
        <w:t xml:space="preserve">дновременного сопровождения экземпляра основной Системы. В случае отключения Заказчиком сопровождения экземпляра основной Системы блокируется возможность использования Заказчиком всех Систем комплекта и прекращается сопровождение специальной копии Системы.</w:t>
      </w:r>
      <w:r>
        <w:rPr>
          <w:sz w:val="17"/>
          <w:szCs w:val="17"/>
          <w14:ligatures w14:val="none"/>
        </w:rPr>
      </w:r>
    </w:p>
    <w:p>
      <w:pPr>
        <w:pStyle w:val="920"/>
        <w:numPr>
          <w:numId w:val="0"/>
          <w:ilvl w:val="0"/>
        </w:numPr>
        <w:tabs>
          <w:tab w:val="clear" w:pos="360" w:leader="none"/>
        </w:tabs>
        <w:ind w:firstLine="0"/>
        <w:jc w:val="both"/>
        <w:rPr>
          <w:sz w:val="17"/>
          <w:szCs w:val="17"/>
          <w14:ligatures w14:val="none"/>
        </w:rPr>
      </w:pPr>
      <w:r>
        <w:t xml:space="preserve">4.4. Постоянный адрес Заказчика, по которому осуществляется правомерное использование комплекта Систем Уникальными пользователями: </w:t>
      </w:r>
      <w:r>
        <w:t xml:space="preserve">119435, г. Москва, ул. Большая Пироговская, д. 27, стр. 4</w:t>
      </w:r>
      <w:r>
        <w:t xml:space="preserve">.</w:t>
      </w:r>
      <w:r>
        <w:rPr>
          <w:sz w:val="17"/>
          <w:szCs w:val="17"/>
          <w14:ligatures w14:val="none"/>
        </w:rPr>
      </w:r>
    </w:p>
    <w:p>
      <w:pPr>
        <w:pStyle w:val="920"/>
        <w:numPr>
          <w:numId w:val="0"/>
          <w:ilvl w:val="0"/>
        </w:numPr>
        <w:tabs>
          <w:tab w:val="clear" w:pos="360" w:leader="none"/>
        </w:tabs>
        <w:ind w:firstLine="0"/>
        <w:jc w:val="both"/>
        <w:rPr>
          <w:sz w:val="17"/>
          <w:szCs w:val="17"/>
          <w14:ligatures w14:val="none"/>
        </w:rPr>
      </w:pPr>
      <w:r>
        <w:t xml:space="preserve">Примечание</w:t>
      </w:r>
      <w:r>
        <w:t xml:space="preserve">: правомерное использование комплекта Систем также возможно с домашних адресов Уникальных пользователей, а также адресов временного использования Систем Уникальными пользователями (например, при нахождении Уникальных пользователей в командировке или кафе).</w:t>
      </w:r>
      <w:r>
        <w:rPr>
          <w:sz w:val="17"/>
          <w:szCs w:val="17"/>
          <w14:ligatures w14:val="none"/>
        </w:rPr>
      </w:r>
    </w:p>
    <w:p>
      <w:pPr>
        <w:pStyle w:val="920"/>
        <w:numPr>
          <w:numId w:val="0"/>
          <w:ilvl w:val="0"/>
        </w:numPr>
        <w:tabs>
          <w:tab w:val="clear" w:pos="360" w:leader="none"/>
        </w:tabs>
        <w:ind w:firstLine="0"/>
        <w:jc w:val="both"/>
        <w:rPr>
          <w:sz w:val="17"/>
          <w:szCs w:val="17"/>
          <w14:ligatures w14:val="none"/>
        </w:rPr>
      </w:pPr>
      <w:r>
        <w:t xml:space="preserve">4.5. Прочее. </w:t>
      </w:r>
      <w:r>
        <w:t xml:space="preserve">Все расходы, связанные с обеспечением достаточного для оказания текущих услуг трафика, оплачиваются Заказчиком за свой счет. Работоспособность компьютерного, телекоммуникационного оборудования Заказчика и каналов связи Заказчик обеспечивает самостоятельно.</w:t>
      </w:r>
      <w:bookmarkEnd w:id="0"/>
      <w:r>
        <w:rPr>
          <w:sz w:val="17"/>
          <w:szCs w:val="17"/>
          <w14:ligatures w14:val="none"/>
        </w:rPr>
      </w:r>
    </w:p>
    <w:p>
      <w:pPr>
        <w:widowControl w:val="off"/>
        <w:tabs>
          <w:tab w:val="left" w:pos="360" w:leader="none"/>
        </w:tabs>
        <w:jc w:val="both"/>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p>
      <w:pPr>
        <w:widowControl w:val="off"/>
        <w:numPr>
          <w:numId w:val="20"/>
          <w:ilvl w:val="0"/>
        </w:numPr>
        <w:tabs>
          <w:tab w:val="left" w:pos="360" w:leader="none"/>
        </w:tabs>
        <w:jc w:val="center"/>
        <w:rPr>
          <w:rFonts w:ascii="Arial" w:hAnsi="Arial" w:cs="Arial"/>
          <w:sz w:val="20"/>
          <w:szCs w:val="20"/>
          <w:highlight w:val="white"/>
        </w:rPr>
      </w:pPr>
      <w:r>
        <w:rPr>
          <w:rFonts w:ascii="Arial" w:hAnsi="Arial" w:cs="Arial"/>
          <w:sz w:val="20"/>
          <w:szCs w:val="20"/>
          <w:highlight w:val="white"/>
        </w:rPr>
        <w:t xml:space="preserve">ДЕЙСТВИЕ СПЕЦИФИКАЦИИ</w:t>
      </w:r>
      <w:r>
        <w:rPr>
          <w:rFonts w:ascii="Arial" w:hAnsi="Arial" w:cs="Arial"/>
          <w:sz w:val="20"/>
          <w:szCs w:val="20"/>
          <w:highlight w:val="white"/>
        </w:rPr>
      </w:r>
      <w:r>
        <w:rPr>
          <w:rFonts w:ascii="Arial" w:hAnsi="Arial" w:cs="Arial"/>
          <w:sz w:val="20"/>
          <w:szCs w:val="20"/>
          <w:highlight w:val="white"/>
        </w:rPr>
      </w:r>
    </w:p>
    <w:p>
      <w:pPr>
        <w:pStyle w:val="920"/>
        <w:numPr>
          <w:numId w:val="0"/>
          <w:ilvl w:val="0"/>
        </w:numPr>
        <w:tabs>
          <w:tab w:val="clear" w:pos="360" w:leader="none"/>
        </w:tabs>
        <w:ind w:firstLine="0"/>
        <w:jc w:val="both"/>
        <w:rPr>
          <w14:ligatures w14:val="none"/>
        </w:rPr>
      </w:pPr>
      <w:r>
        <w:t xml:space="preserve">5.1. </w:t>
      </w:r>
      <w:r>
        <w:t xml:space="preserve">Перио</w:t>
      </w:r>
      <w:r>
        <w:t xml:space="preserve">д. Спецификация </w:t>
      </w:r>
      <w:r>
        <w:t xml:space="preserve">вступает в силу 01</w:t>
      </w:r>
      <w:r>
        <w:t xml:space="preserve"> января</w:t>
      </w:r>
      <w:r>
        <w:t xml:space="preserve"> 2026</w:t>
      </w:r>
      <w:r>
        <w:t xml:space="preserve"> г.</w:t>
      </w:r>
      <w:r>
        <w:t xml:space="preserve"> и заканчивает </w:t>
      </w:r>
      <w:r>
        <w:t xml:space="preserve">свое действие в случае прекращения Договора.</w:t>
      </w:r>
      <w:r>
        <w:rPr>
          <w14:ligatures w14:val="none"/>
        </w:rPr>
      </w:r>
      <w:r>
        <w:rPr>
          <w14:ligatures w14:val="none"/>
        </w:rPr>
      </w:r>
    </w:p>
    <w:p>
      <w:pPr>
        <w:pStyle w:val="920"/>
        <w:numPr>
          <w:numId w:val="0"/>
          <w:ilvl w:val="0"/>
        </w:numPr>
        <w:tabs>
          <w:tab w:val="clear" w:pos="360" w:leader="none"/>
        </w:tabs>
        <w:ind w:firstLine="0"/>
        <w:jc w:val="both"/>
        <w:rPr>
          <w14:ligatures w14:val="none"/>
        </w:rPr>
      </w:pPr>
      <w:r>
        <w:t xml:space="preserve">5.2. </w:t>
      </w:r>
      <w:r>
        <w:t xml:space="preserve">Отказ от услуг. Заказчик имеет право отказаться от услуг, предусмотренных настоящей Специфика</w:t>
      </w:r>
      <w:r>
        <w:t xml:space="preserve">цией, до истечения срока действия Договора. Заказчик обязан письменно уведомить Исполнителя о таком отказе не менее чем за 30 (тридцать) дней. Отказ от услуг, предусмотренных настоящей Спецификацией, не прекращает действие Договора или других Спецификаций.</w:t>
      </w:r>
      <w:r>
        <w:rPr>
          <w14:ligatures w14:val="none"/>
        </w:rPr>
      </w:r>
      <w:r>
        <w:rPr>
          <w14:ligatures w14:val="none"/>
        </w:rPr>
      </w:r>
    </w:p>
    <w:p>
      <w:pPr>
        <w:pStyle w:val="920"/>
        <w:numPr>
          <w:numId w:val="0"/>
          <w:ilvl w:val="0"/>
        </w:numPr>
        <w:tabs>
          <w:tab w:val="clear" w:pos="360" w:leader="none"/>
        </w:tabs>
        <w:ind w:firstLine="0"/>
        <w:jc w:val="both"/>
        <w:rPr>
          <w14:ligatures w14:val="none"/>
        </w:rPr>
      </w:pPr>
      <w:bookmarkStart w:id="0" w:name="undefined"/>
      <w:r>
        <w:t xml:space="preserve">5.3. </w:t>
      </w:r>
      <w:r>
        <w:t xml:space="preserve">Отказ от Договора. Исполнитель имеет право отказаться от исполнения Договора в одностороннем порядке в случае нарушения Заказчиком п. 3.8 настоящей Спецификации.</w:t>
      </w:r>
      <w:bookmarkEnd w:id="0"/>
      <w:r>
        <w:rPr>
          <w14:ligatures w14:val="none"/>
        </w:rPr>
      </w:r>
      <w:r>
        <w:rPr>
          <w14:ligatures w14:val="none"/>
        </w:rPr>
      </w:r>
    </w:p>
    <w:p>
      <w:pPr>
        <w:pStyle w:val="920"/>
        <w:numPr>
          <w:numId w:val="0"/>
          <w:ilvl w:val="0"/>
        </w:numPr>
        <w:tabs>
          <w:tab w:val="clear" w:pos="360" w:leader="none"/>
        </w:tabs>
        <w:ind w:firstLine="0"/>
        <w:jc w:val="both"/>
        <w:rPr>
          <w14:ligatures w14:val="none"/>
        </w:rPr>
      </w:pPr>
      <w:r>
        <w:t xml:space="preserve">5.4. </w:t>
      </w:r>
      <w:r>
        <w:t xml:space="preserve">Приоритет спецификации. Спецификация является неотъемлемой частью Договора.  В случае противоречий между условиями Договора и условиями Спецификации применяются условия Спецификации.</w:t>
      </w:r>
      <w:r>
        <w:rPr>
          <w14:ligatures w14:val="none"/>
        </w:rPr>
      </w:r>
      <w:r>
        <w:rPr>
          <w14:ligatures w14:val="none"/>
        </w:rPr>
      </w:r>
    </w:p>
    <w:p>
      <w:pPr>
        <w:pStyle w:val="920"/>
        <w:numPr>
          <w:numId w:val="0"/>
          <w:ilvl w:val="0"/>
        </w:numPr>
        <w:tabs>
          <w:tab w:val="clear" w:pos="360" w:leader="none"/>
        </w:tabs>
        <w:ind w:firstLine="0"/>
        <w:jc w:val="both"/>
        <w:rPr>
          <w:rFonts w:ascii="Arial" w:hAnsi="Arial" w:cs="Arial"/>
          <w:sz w:val="20"/>
          <w:szCs w:val="20"/>
          <w:highlight w:val="white"/>
        </w:rPr>
      </w:pPr>
      <w:r>
        <w:t xml:space="preserve">5.5. </w:t>
      </w:r>
      <w:r>
        <w:t xml:space="preserve">Изменение. В случаях, предусмотренных Договором, Исполнитель вправе изменить параметры или название экземпляров Систем в одностороннем порядке.</w:t>
      </w:r>
      <w:r>
        <w:rPr>
          <w:rFonts w:ascii="Arial" w:hAnsi="Arial" w:cs="Arial"/>
          <w:sz w:val="20"/>
          <w:szCs w:val="20"/>
          <w:highlight w:val="white"/>
        </w:rPr>
      </w:r>
      <w:r>
        <w:rPr>
          <w:rFonts w:ascii="Arial" w:hAnsi="Arial" w:cs="Arial"/>
          <w:sz w:val="20"/>
          <w:szCs w:val="20"/>
          <w:highlight w:val="white"/>
        </w:rPr>
      </w:r>
    </w:p>
    <w:p>
      <w:pPr>
        <w:widowControl w:val="off"/>
        <w:tabs>
          <w:tab w:val="left" w:pos="360" w:leader="none"/>
        </w:tabs>
        <w:ind w:left="0" w:firstLine="0"/>
        <w:jc w:val="both"/>
        <w:rPr>
          <w:rFonts w:ascii="Arial" w:hAnsi="Arial" w:cs="Arial"/>
          <w:sz w:val="20"/>
          <w:szCs w:val="20"/>
          <w:highlight w:val="white"/>
        </w:rPr>
      </w:pPr>
      <w:r>
        <w:rPr>
          <w:rFonts w:ascii="Arial" w:hAnsi="Arial" w:cs="Arial"/>
          <w:sz w:val="20"/>
          <w:szCs w:val="20"/>
          <w:highlight w:val="none"/>
        </w:rPr>
      </w:r>
      <w:r>
        <w:rPr>
          <w:rFonts w:ascii="Arial" w:hAnsi="Arial" w:cs="Arial"/>
          <w:sz w:val="20"/>
          <w:szCs w:val="20"/>
          <w:highlight w:val="white"/>
        </w:rPr>
      </w:r>
      <w:r>
        <w:rPr>
          <w:rFonts w:ascii="Arial" w:hAnsi="Arial" w:cs="Arial"/>
          <w:sz w:val="20"/>
          <w:szCs w:val="20"/>
          <w:highlight w:val="white"/>
        </w:rPr>
      </w:r>
    </w:p>
    <w:p>
      <w:pPr>
        <w:jc w:val="center"/>
        <w:rPr>
          <w:rFonts w:ascii="Arial" w:hAnsi="Arial" w:eastAsia="Calibri" w:cs="Arial"/>
          <w:sz w:val="20"/>
          <w:szCs w:val="20"/>
          <w:highlight w:val="white"/>
        </w:rPr>
      </w:pPr>
      <w:r>
        <w:rPr>
          <w:rFonts w:ascii="Arial" w:hAnsi="Arial" w:eastAsia="Calibri" w:cs="Arial"/>
          <w:sz w:val="20"/>
          <w:szCs w:val="20"/>
          <w:highlight w:val="white"/>
          <w:lang w:eastAsia="en-US"/>
        </w:rPr>
        <w:t xml:space="preserve">ПОДПИСИ СТОРОН</w:t>
      </w:r>
      <w:r>
        <w:rPr>
          <w:rFonts w:ascii="Arial" w:hAnsi="Arial" w:eastAsia="Calibri" w:cs="Arial"/>
          <w:sz w:val="20"/>
          <w:szCs w:val="20"/>
          <w:highlight w:val="white"/>
        </w:rPr>
      </w:r>
      <w:r>
        <w:rPr>
          <w:rFonts w:ascii="Arial" w:hAnsi="Arial" w:eastAsia="Calibri" w:cs="Arial"/>
          <w:sz w:val="20"/>
          <w:szCs w:val="20"/>
          <w:highlight w:val="white"/>
        </w:rPr>
      </w:r>
    </w:p>
    <w:tbl>
      <w:tblPr>
        <w:tblW w:w="10386" w:type="dxa"/>
        <w:tblInd w:w="108" w:type="dxa"/>
        <w:tblLayout w:type="fixed"/>
        <w:tblLook w:val="0000" w:firstRow="0" w:lastRow="0" w:firstColumn="0" w:lastColumn="0" w:noHBand="0" w:noVBand="0"/>
      </w:tblPr>
      <w:tblGrid>
        <w:gridCol w:w="5036"/>
        <w:gridCol w:w="350"/>
        <w:gridCol w:w="5000"/>
      </w:tblGrid>
      <w:tr>
        <w:trPr>
          <w:trHeight w:val="494"/>
        </w:trPr>
        <w:tblPrEx/>
        <w:tc>
          <w:tcPr>
            <w:tcW w:w="5036" w:type="dxa"/>
            <w:noWrap w:val="false"/>
            <w:textDirection w:val="lrTb"/>
          </w:tcPr>
          <w:p>
            <w:pPr>
              <w:jc w:val="center"/>
              <w:rPr>
                <w:rFonts w:ascii="Arial" w:hAnsi="Arial" w:cs="Arial"/>
                <w:sz w:val="20"/>
                <w:szCs w:val="20"/>
                <w:highlight w:val="white"/>
              </w:rPr>
            </w:pPr>
            <w:r>
              <w:rPr>
                <w:rFonts w:ascii="Arial" w:hAnsi="Arial" w:cs="Arial"/>
                <w:sz w:val="20"/>
                <w:szCs w:val="20"/>
                <w:highlight w:val="white"/>
              </w:rPr>
              <w:t xml:space="preserve">Заказчик</w:t>
            </w:r>
            <w:r>
              <w:rPr>
                <w:rFonts w:ascii="Arial" w:hAnsi="Arial" w:cs="Arial"/>
                <w:sz w:val="20"/>
                <w:szCs w:val="20"/>
                <w:highlight w:val="white"/>
              </w:rPr>
            </w:r>
            <w:r>
              <w:rPr>
                <w:rFonts w:ascii="Arial" w:hAnsi="Arial" w:cs="Arial"/>
                <w:sz w:val="20"/>
                <w:szCs w:val="20"/>
                <w:highlight w:val="white"/>
              </w:rPr>
            </w:r>
          </w:p>
          <w:p>
            <w:pPr>
              <w:keepNext/>
              <w:jc w:val="center"/>
              <w:outlineLvl w:val="2"/>
              <w:rPr>
                <w:rFonts w:ascii="Arial" w:hAnsi="Arial" w:cs="Arial"/>
                <w:sz w:val="20"/>
                <w:szCs w:val="20"/>
                <w:highlight w:val="white"/>
              </w:rPr>
            </w:pPr>
            <w:r>
              <w:rPr>
                <w:rFonts w:ascii="Arial" w:hAnsi="Arial" w:cs="Arial"/>
                <w:sz w:val="20"/>
                <w:szCs w:val="20"/>
                <w:highlight w:val="white"/>
              </w:rPr>
              <w:t xml:space="preserve">ООО «Интер РАО - Инжиниринг»</w:t>
            </w:r>
            <w:r>
              <w:rPr>
                <w:rFonts w:ascii="Arial" w:hAnsi="Arial" w:cs="Arial"/>
                <w:sz w:val="20"/>
                <w:szCs w:val="20"/>
                <w:highlight w:val="white"/>
              </w:rPr>
            </w:r>
            <w:r>
              <w:rPr>
                <w:rFonts w:ascii="Arial" w:hAnsi="Arial" w:cs="Arial"/>
                <w:sz w:val="20"/>
                <w:szCs w:val="20"/>
                <w:highlight w:val="white"/>
              </w:rPr>
            </w:r>
          </w:p>
          <w:p>
            <w:pPr>
              <w:jc w:val="center"/>
              <w:rPr>
                <w:rFonts w:ascii="Arial" w:hAnsi="Arial" w:cs="Arial"/>
                <w:bCs/>
                <w:sz w:val="20"/>
                <w:szCs w:val="20"/>
                <w:highlight w:val="white"/>
              </w:rPr>
            </w:pPr>
            <w:r>
              <w:rPr>
                <w:rFonts w:ascii="Arial" w:hAnsi="Arial" w:cs="Arial"/>
                <w:sz w:val="20"/>
                <w:szCs w:val="20"/>
                <w:highlight w:val="white"/>
                <w:lang w:val="en-US"/>
              </w:rPr>
            </w:r>
            <w:r>
              <w:rPr>
                <w:rFonts w:ascii="Arial" w:hAnsi="Arial" w:cs="Arial"/>
                <w:bCs/>
                <w:sz w:val="20"/>
                <w:szCs w:val="20"/>
                <w:highlight w:val="white"/>
              </w:rPr>
            </w:r>
            <w:r>
              <w:rPr>
                <w:rFonts w:ascii="Arial" w:hAnsi="Arial" w:cs="Arial"/>
                <w:bCs/>
                <w:sz w:val="20"/>
                <w:szCs w:val="20"/>
                <w:highlight w:val="white"/>
              </w:rPr>
            </w:r>
          </w:p>
          <w:p>
            <w:pPr>
              <w:jc w:val="center"/>
              <w:rPr>
                <w:rFonts w:ascii="Arial" w:hAnsi="Arial" w:cs="Arial"/>
                <w:sz w:val="20"/>
                <w:szCs w:val="20"/>
                <w:highlight w:val="white"/>
              </w:rPr>
            </w:pPr>
            <w:r>
              <w:rPr>
                <w:rFonts w:ascii="Arial" w:hAnsi="Arial" w:cs="Arial"/>
                <w:sz w:val="20"/>
                <w:szCs w:val="20"/>
                <w:highlight w:val="white"/>
                <w:lang w:val="en-US"/>
              </w:rPr>
            </w:r>
            <w:r>
              <w:rPr>
                <w:rFonts w:ascii="Arial" w:hAnsi="Arial" w:cs="Arial"/>
                <w:sz w:val="20"/>
                <w:szCs w:val="20"/>
                <w:highlight w:val="white"/>
              </w:rPr>
            </w:r>
            <w:r>
              <w:rPr>
                <w:rFonts w:ascii="Arial" w:hAnsi="Arial" w:cs="Arial"/>
                <w:sz w:val="20"/>
                <w:szCs w:val="20"/>
                <w:highlight w:val="white"/>
              </w:rPr>
            </w:r>
          </w:p>
        </w:tc>
        <w:tc>
          <w:tcPr>
            <w:tcW w:w="350" w:type="dxa"/>
            <w:noWrap w:val="false"/>
            <w:textDirection w:val="lrTb"/>
          </w:tcPr>
          <w:p>
            <w:pPr>
              <w:jc w:val="both"/>
              <w:rPr>
                <w:rFonts w:ascii="Arial" w:hAnsi="Arial" w:cs="Arial"/>
                <w:sz w:val="20"/>
                <w:szCs w:val="20"/>
                <w:highlight w:val="white"/>
              </w:rPr>
            </w:pPr>
            <w:r>
              <w:rPr>
                <w:rFonts w:ascii="Arial" w:hAnsi="Arial" w:cs="Arial"/>
                <w:sz w:val="20"/>
                <w:szCs w:val="20"/>
                <w:highlight w:val="white"/>
                <w:lang w:val="en-US"/>
              </w:rPr>
            </w:r>
            <w:r>
              <w:rPr>
                <w:rFonts w:ascii="Arial" w:hAnsi="Arial" w:cs="Arial"/>
                <w:sz w:val="20"/>
                <w:szCs w:val="20"/>
                <w:highlight w:val="white"/>
              </w:rPr>
            </w:r>
            <w:r>
              <w:rPr>
                <w:rFonts w:ascii="Arial" w:hAnsi="Arial" w:cs="Arial"/>
                <w:sz w:val="20"/>
                <w:szCs w:val="20"/>
                <w:highlight w:val="white"/>
              </w:rPr>
            </w:r>
          </w:p>
        </w:tc>
        <w:tc>
          <w:tcPr>
            <w:tcW w:w="5000" w:type="dxa"/>
            <w:noWrap w:val="false"/>
            <w:textDirection w:val="lrTb"/>
          </w:tcPr>
          <w:p>
            <w:pPr>
              <w:jc w:val="center"/>
              <w:rPr>
                <w:rFonts w:ascii="Arial" w:hAnsi="Arial" w:cs="Arial"/>
                <w:sz w:val="20"/>
                <w:szCs w:val="20"/>
                <w:highlight w:val="white"/>
              </w:rPr>
            </w:pPr>
            <w:r>
              <w:rPr>
                <w:rFonts w:ascii="Arial" w:hAnsi="Arial" w:cs="Arial"/>
                <w:sz w:val="20"/>
                <w:szCs w:val="20"/>
                <w:highlight w:val="white"/>
              </w:rPr>
              <w:t xml:space="preserve">Исполнитель</w:t>
            </w:r>
            <w:r>
              <w:rPr>
                <w:rFonts w:ascii="Arial" w:hAnsi="Arial" w:cs="Arial"/>
                <w:sz w:val="20"/>
                <w:szCs w:val="20"/>
                <w:highlight w:val="white"/>
              </w:rPr>
            </w:r>
            <w:r>
              <w:rPr>
                <w:rFonts w:ascii="Arial" w:hAnsi="Arial" w:cs="Arial"/>
                <w:sz w:val="20"/>
                <w:szCs w:val="20"/>
                <w:highlight w:val="white"/>
              </w:rPr>
            </w:r>
          </w:p>
          <w:p>
            <w:pPr>
              <w:jc w:val="center"/>
              <w:rPr>
                <w:rFonts w:ascii="Arial" w:hAnsi="Arial" w:cs="Arial"/>
                <w:sz w:val="20"/>
                <w:szCs w:val="20"/>
                <w:highlight w:val="white"/>
              </w:rPr>
            </w:pPr>
            <w:r>
              <w:rPr>
                <w:rFonts w:ascii="Arial" w:hAnsi="Arial" w:cs="Arial"/>
                <w:sz w:val="20"/>
                <w:szCs w:val="20"/>
                <w:highlight w:val="white"/>
              </w:rPr>
              <w:t xml:space="preserve">  </w:t>
            </w:r>
            <w:r>
              <w:rPr>
                <w:rFonts w:ascii="Arial" w:hAnsi="Arial" w:cs="Arial"/>
                <w:sz w:val="20"/>
                <w:szCs w:val="20"/>
                <w:highlight w:val="white"/>
              </w:rPr>
            </w:r>
            <w:r>
              <w:rPr>
                <w:rFonts w:ascii="Arial" w:hAnsi="Arial" w:cs="Arial"/>
                <w:sz w:val="20"/>
                <w:szCs w:val="20"/>
                <w:highlight w:val="white"/>
              </w:rPr>
            </w:r>
          </w:p>
        </w:tc>
      </w:tr>
      <w:tr>
        <w:trPr>
          <w:trHeight w:val="199"/>
        </w:trPr>
        <w:tblPrEx/>
        <w:tc>
          <w:tcPr>
            <w:tcW w:w="5036" w:type="dxa"/>
            <w:tcBorders>
              <w:bottom w:val="single" w:color="000000" w:sz="4" w:space="0"/>
            </w:tcBorders>
            <w:noWrap w:val="false"/>
            <w:textDirection w:val="lrTb"/>
          </w:tcPr>
          <w:p>
            <w:pPr>
              <w:jc w:val="both"/>
              <w:rPr>
                <w:rFonts w:ascii="Arial" w:hAnsi="Arial" w:cs="Arial"/>
                <w:bCs/>
                <w:sz w:val="20"/>
                <w:szCs w:val="20"/>
                <w:highlight w:val="white"/>
              </w:rPr>
            </w:pPr>
            <w:r>
              <w:rPr>
                <w:rFonts w:ascii="Arial" w:hAnsi="Arial" w:cs="Arial"/>
                <w:bCs/>
                <w:sz w:val="20"/>
                <w:szCs w:val="20"/>
                <w:highlight w:val="white"/>
              </w:rPr>
            </w:r>
            <w:r>
              <w:rPr>
                <w:rFonts w:ascii="Arial" w:hAnsi="Arial" w:cs="Arial"/>
                <w:bCs/>
                <w:sz w:val="20"/>
                <w:szCs w:val="20"/>
                <w:highlight w:val="white"/>
              </w:rPr>
            </w:r>
            <w:r>
              <w:rPr>
                <w:rFonts w:ascii="Arial" w:hAnsi="Arial" w:cs="Arial"/>
                <w:bCs/>
                <w:sz w:val="20"/>
                <w:szCs w:val="20"/>
                <w:highlight w:val="white"/>
              </w:rPr>
            </w:r>
          </w:p>
        </w:tc>
        <w:tc>
          <w:tcPr>
            <w:tcW w:w="350" w:type="dxa"/>
            <w:noWrap w:val="false"/>
            <w:textDirection w:val="lrTb"/>
          </w:tcPr>
          <w:p>
            <w:pPr>
              <w:jc w:val="both"/>
              <w:rPr>
                <w:rFonts w:ascii="Arial" w:hAnsi="Arial" w:cs="Arial"/>
                <w:bCs/>
                <w:sz w:val="20"/>
                <w:szCs w:val="20"/>
                <w:highlight w:val="white"/>
              </w:rPr>
            </w:pPr>
            <w:r>
              <w:rPr>
                <w:rFonts w:ascii="Arial" w:hAnsi="Arial" w:cs="Arial"/>
                <w:bCs/>
                <w:sz w:val="20"/>
                <w:szCs w:val="20"/>
                <w:highlight w:val="white"/>
              </w:rPr>
            </w:r>
            <w:r>
              <w:rPr>
                <w:rFonts w:ascii="Arial" w:hAnsi="Arial" w:cs="Arial"/>
                <w:bCs/>
                <w:sz w:val="20"/>
                <w:szCs w:val="20"/>
                <w:highlight w:val="white"/>
              </w:rPr>
            </w:r>
            <w:r>
              <w:rPr>
                <w:rFonts w:ascii="Arial" w:hAnsi="Arial" w:cs="Arial"/>
                <w:bCs/>
                <w:sz w:val="20"/>
                <w:szCs w:val="20"/>
                <w:highlight w:val="white"/>
              </w:rPr>
            </w:r>
          </w:p>
        </w:tc>
        <w:tc>
          <w:tcPr>
            <w:tcW w:w="5000" w:type="dxa"/>
            <w:tcBorders>
              <w:bottom w:val="single" w:color="000000" w:sz="4" w:space="0"/>
            </w:tcBorders>
            <w:noWrap w:val="false"/>
            <w:textDirection w:val="lrTb"/>
          </w:tcPr>
          <w:p>
            <w:pPr>
              <w:jc w:val="both"/>
              <w:rPr>
                <w:rFonts w:ascii="Arial" w:hAnsi="Arial" w:cs="Arial"/>
                <w:bCs/>
                <w:sz w:val="20"/>
                <w:szCs w:val="20"/>
                <w:highlight w:val="white"/>
              </w:rPr>
            </w:pPr>
            <w:r>
              <w:rPr>
                <w:rFonts w:ascii="Arial" w:hAnsi="Arial" w:cs="Arial"/>
                <w:bCs/>
                <w:sz w:val="20"/>
                <w:szCs w:val="20"/>
                <w:highlight w:val="white"/>
              </w:rPr>
            </w:r>
            <w:r>
              <w:rPr>
                <w:rFonts w:ascii="Arial" w:hAnsi="Arial" w:cs="Arial"/>
                <w:bCs/>
                <w:sz w:val="20"/>
                <w:szCs w:val="20"/>
                <w:highlight w:val="white"/>
              </w:rPr>
            </w:r>
            <w:r>
              <w:rPr>
                <w:rFonts w:ascii="Arial" w:hAnsi="Arial" w:cs="Arial"/>
                <w:bCs/>
                <w:sz w:val="20"/>
                <w:szCs w:val="20"/>
                <w:highlight w:val="white"/>
              </w:rPr>
            </w:r>
          </w:p>
        </w:tc>
      </w:tr>
      <w:tr>
        <w:trPr>
          <w:trHeight w:val="186"/>
        </w:trPr>
        <w:tblPrEx/>
        <w:tc>
          <w:tcPr>
            <w:tcW w:w="5036" w:type="dxa"/>
            <w:tcBorders>
              <w:top w:val="single" w:color="000000" w:sz="4" w:space="0"/>
            </w:tcBorders>
            <w:noWrap w:val="false"/>
            <w:textDirection w:val="lrTb"/>
            <w:vAlign w:val="center"/>
          </w:tcPr>
          <w:p>
            <w:pPr>
              <w:jc w:val="center"/>
              <w:rPr>
                <w:rFonts w:ascii="Arial" w:hAnsi="Arial" w:cs="Arial"/>
                <w:bCs/>
                <w:sz w:val="20"/>
                <w:szCs w:val="20"/>
                <w:highlight w:val="white"/>
              </w:rPr>
            </w:pPr>
            <w:r>
              <w:rPr>
                <w:rFonts w:ascii="Arial" w:hAnsi="Arial" w:cs="Arial"/>
                <w:sz w:val="20"/>
                <w:szCs w:val="20"/>
                <w:highlight w:val="white"/>
                <w:lang w:val="en-US"/>
              </w:rPr>
              <w:t xml:space="preserve">/</w:t>
            </w:r>
            <w:r>
              <w:rPr>
                <w:rFonts w:ascii="Arial" w:hAnsi="Arial" w:cs="Arial"/>
                <w:sz w:val="20"/>
                <w:szCs w:val="20"/>
                <w:highlight w:val="white"/>
              </w:rPr>
              <w:t xml:space="preserve">____________________</w:t>
            </w:r>
            <w:r>
              <w:rPr>
                <w:rFonts w:ascii="Arial" w:hAnsi="Arial" w:cs="Arial"/>
                <w:sz w:val="20"/>
                <w:szCs w:val="20"/>
                <w:highlight w:val="white"/>
                <w:lang w:val="en-US"/>
              </w:rPr>
              <w:t xml:space="preserve">/</w:t>
            </w:r>
            <w:r>
              <w:rPr>
                <w:rFonts w:ascii="Arial" w:hAnsi="Arial" w:cs="Arial"/>
                <w:bCs/>
                <w:sz w:val="20"/>
                <w:szCs w:val="20"/>
                <w:highlight w:val="white"/>
              </w:rPr>
            </w:r>
            <w:r>
              <w:rPr>
                <w:rFonts w:ascii="Arial" w:hAnsi="Arial" w:cs="Arial"/>
                <w:bCs/>
                <w:sz w:val="20"/>
                <w:szCs w:val="20"/>
                <w:highlight w:val="white"/>
              </w:rPr>
            </w:r>
          </w:p>
        </w:tc>
        <w:tc>
          <w:tcPr>
            <w:tcW w:w="350" w:type="dxa"/>
            <w:noWrap w:val="false"/>
            <w:textDirection w:val="lrTb"/>
            <w:vAlign w:val="center"/>
          </w:tcPr>
          <w:p>
            <w:pPr>
              <w:jc w:val="center"/>
              <w:rPr>
                <w:rFonts w:ascii="Arial" w:hAnsi="Arial" w:cs="Arial"/>
                <w:bCs/>
                <w:sz w:val="20"/>
                <w:szCs w:val="20"/>
                <w:highlight w:val="white"/>
              </w:rPr>
            </w:pPr>
            <w:r>
              <w:rPr>
                <w:rFonts w:ascii="Arial" w:hAnsi="Arial" w:cs="Arial"/>
                <w:bCs/>
                <w:sz w:val="20"/>
                <w:szCs w:val="20"/>
                <w:highlight w:val="white"/>
                <w:lang w:val="en-US"/>
              </w:rPr>
            </w:r>
            <w:r>
              <w:rPr>
                <w:rFonts w:ascii="Arial" w:hAnsi="Arial" w:cs="Arial"/>
                <w:bCs/>
                <w:sz w:val="20"/>
                <w:szCs w:val="20"/>
                <w:highlight w:val="white"/>
              </w:rPr>
            </w:r>
            <w:r>
              <w:rPr>
                <w:rFonts w:ascii="Arial" w:hAnsi="Arial" w:cs="Arial"/>
                <w:bCs/>
                <w:sz w:val="20"/>
                <w:szCs w:val="20"/>
                <w:highlight w:val="white"/>
              </w:rPr>
            </w:r>
          </w:p>
        </w:tc>
        <w:tc>
          <w:tcPr>
            <w:tcW w:w="5000" w:type="dxa"/>
            <w:tcBorders>
              <w:top w:val="single" w:color="000000" w:sz="4" w:space="0"/>
            </w:tcBorders>
            <w:noWrap w:val="false"/>
            <w:textDirection w:val="lrTb"/>
            <w:vAlign w:val="center"/>
          </w:tcPr>
          <w:p>
            <w:pPr>
              <w:jc w:val="center"/>
              <w:rPr>
                <w:rFonts w:ascii="Arial" w:hAnsi="Arial" w:cs="Arial"/>
                <w:bCs/>
                <w:sz w:val="20"/>
                <w:szCs w:val="20"/>
                <w:highlight w:val="white"/>
              </w:rPr>
            </w:pPr>
            <w:r>
              <w:rPr>
                <w:rFonts w:ascii="Arial" w:hAnsi="Arial" w:cs="Arial"/>
                <w:sz w:val="20"/>
                <w:szCs w:val="20"/>
                <w:highlight w:val="white"/>
                <w:lang w:val="en-US"/>
              </w:rPr>
              <w:t xml:space="preserve">/</w:t>
            </w:r>
            <w:r>
              <w:rPr>
                <w:rFonts w:ascii="Arial" w:hAnsi="Arial" w:cs="Arial"/>
                <w:sz w:val="20"/>
                <w:szCs w:val="20"/>
                <w:highlight w:val="white"/>
              </w:rPr>
              <w:t xml:space="preserve">_______________</w:t>
            </w:r>
            <w:r>
              <w:rPr>
                <w:rFonts w:ascii="Arial" w:hAnsi="Arial" w:cs="Arial"/>
                <w:sz w:val="20"/>
                <w:szCs w:val="20"/>
                <w:highlight w:val="white"/>
                <w:lang w:val="en-US"/>
              </w:rPr>
              <w:t xml:space="preserve">/</w:t>
            </w:r>
            <w:r>
              <w:rPr>
                <w:rFonts w:ascii="Arial" w:hAnsi="Arial" w:cs="Arial"/>
                <w:bCs/>
                <w:sz w:val="20"/>
                <w:szCs w:val="20"/>
                <w:highlight w:val="white"/>
              </w:rPr>
            </w:r>
            <w:r>
              <w:rPr>
                <w:rFonts w:ascii="Arial" w:hAnsi="Arial" w:cs="Arial"/>
                <w:bCs/>
                <w:sz w:val="20"/>
                <w:szCs w:val="20"/>
                <w:highlight w:val="white"/>
              </w:rPr>
            </w:r>
          </w:p>
        </w:tc>
      </w:tr>
      <w:tr>
        <w:trPr>
          <w:trHeight w:val="187"/>
        </w:trPr>
        <w:tblPrEx/>
        <w:tc>
          <w:tcPr>
            <w:tcW w:w="5036" w:type="dxa"/>
            <w:noWrap w:val="false"/>
            <w:textDirection w:val="lrTb"/>
          </w:tcPr>
          <w:p>
            <w:pPr>
              <w:jc w:val="center"/>
              <w:rPr>
                <w:rFonts w:ascii="Arial" w:hAnsi="Arial" w:cs="Arial"/>
                <w:bCs/>
                <w:sz w:val="20"/>
                <w:szCs w:val="20"/>
                <w:highlight w:val="white"/>
              </w:rPr>
            </w:pPr>
            <w:r>
              <w:rPr>
                <w:rFonts w:ascii="Arial" w:hAnsi="Arial" w:cs="Arial"/>
                <w:bCs/>
                <w:sz w:val="20"/>
                <w:szCs w:val="20"/>
                <w:highlight w:val="white"/>
                <w:lang w:val="en-US"/>
              </w:rPr>
            </w:r>
            <w:r>
              <w:rPr>
                <w:rFonts w:ascii="Arial" w:hAnsi="Arial" w:cs="Arial"/>
                <w:bCs/>
                <w:sz w:val="20"/>
                <w:szCs w:val="20"/>
                <w:highlight w:val="white"/>
              </w:rPr>
            </w:r>
            <w:r>
              <w:rPr>
                <w:rFonts w:ascii="Arial" w:hAnsi="Arial" w:cs="Arial"/>
                <w:bCs/>
                <w:sz w:val="20"/>
                <w:szCs w:val="20"/>
                <w:highlight w:val="white"/>
              </w:rPr>
            </w:r>
          </w:p>
        </w:tc>
        <w:tc>
          <w:tcPr>
            <w:tcW w:w="350" w:type="dxa"/>
            <w:noWrap w:val="false"/>
            <w:textDirection w:val="lrTb"/>
          </w:tcPr>
          <w:p>
            <w:pPr>
              <w:jc w:val="both"/>
              <w:rPr>
                <w:rFonts w:ascii="Arial" w:hAnsi="Arial" w:cs="Arial"/>
                <w:bCs/>
                <w:sz w:val="20"/>
                <w:szCs w:val="20"/>
                <w:highlight w:val="white"/>
              </w:rPr>
            </w:pPr>
            <w:r>
              <w:rPr>
                <w:rFonts w:ascii="Arial" w:hAnsi="Arial" w:cs="Arial"/>
                <w:bCs/>
                <w:sz w:val="20"/>
                <w:szCs w:val="20"/>
                <w:highlight w:val="white"/>
                <w:lang w:val="en-US"/>
              </w:rPr>
            </w:r>
            <w:r>
              <w:rPr>
                <w:rFonts w:ascii="Arial" w:hAnsi="Arial" w:cs="Arial"/>
                <w:bCs/>
                <w:sz w:val="20"/>
                <w:szCs w:val="20"/>
                <w:highlight w:val="white"/>
              </w:rPr>
            </w:r>
            <w:r>
              <w:rPr>
                <w:rFonts w:ascii="Arial" w:hAnsi="Arial" w:cs="Arial"/>
                <w:bCs/>
                <w:sz w:val="20"/>
                <w:szCs w:val="20"/>
                <w:highlight w:val="white"/>
              </w:rPr>
            </w:r>
          </w:p>
        </w:tc>
        <w:tc>
          <w:tcPr>
            <w:tcW w:w="5000" w:type="dxa"/>
            <w:noWrap w:val="false"/>
            <w:textDirection w:val="lrTb"/>
          </w:tcPr>
          <w:p>
            <w:pPr>
              <w:keepNext/>
              <w:jc w:val="center"/>
              <w:outlineLvl w:val="3"/>
              <w:rPr>
                <w:rFonts w:ascii="Arial" w:hAnsi="Arial" w:cs="Arial"/>
                <w:sz w:val="20"/>
                <w:szCs w:val="20"/>
                <w:highlight w:val="white"/>
              </w:rPr>
            </w:pPr>
            <w:r>
              <w:rPr>
                <w:rFonts w:ascii="Arial" w:hAnsi="Arial" w:cs="Arial"/>
                <w:sz w:val="20"/>
                <w:szCs w:val="20"/>
                <w:highlight w:val="white"/>
                <w:lang w:val="en-US"/>
              </w:rPr>
            </w:r>
            <w:r>
              <w:rPr>
                <w:rFonts w:ascii="Arial" w:hAnsi="Arial" w:cs="Arial"/>
                <w:sz w:val="20"/>
                <w:szCs w:val="20"/>
                <w:highlight w:val="white"/>
              </w:rPr>
            </w:r>
            <w:r>
              <w:rPr>
                <w:rFonts w:ascii="Arial" w:hAnsi="Arial" w:cs="Arial"/>
                <w:sz w:val="20"/>
                <w:szCs w:val="20"/>
                <w:highlight w:val="white"/>
              </w:rPr>
            </w:r>
          </w:p>
        </w:tc>
      </w:tr>
    </w:tbl>
    <w:p>
      <w:pPr>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p>
      <w:pPr>
        <w:rPr>
          <w:rFonts w:ascii="Arial" w:hAnsi="Arial" w:cs="Arial"/>
          <w:sz w:val="20"/>
          <w:szCs w:val="20"/>
          <w:highlight w:val="white"/>
        </w:rPr>
      </w:pPr>
      <w:r>
        <w:rPr>
          <w:rFonts w:ascii="Arial" w:hAnsi="Arial" w:cs="Arial"/>
          <w:sz w:val="20"/>
          <w:szCs w:val="20"/>
          <w:highlight w:val="white"/>
        </w:rPr>
      </w:r>
      <w:r>
        <w:rPr>
          <w:rFonts w:ascii="Arial" w:hAnsi="Arial" w:cs="Arial"/>
          <w:sz w:val="20"/>
          <w:szCs w:val="20"/>
          <w:highlight w:val="white"/>
        </w:rPr>
      </w:r>
      <w:r>
        <w:rPr>
          <w:rFonts w:ascii="Arial" w:hAnsi="Arial" w:cs="Arial"/>
          <w:sz w:val="20"/>
          <w:szCs w:val="20"/>
          <w:highlight w:val="white"/>
        </w:rPr>
      </w:r>
    </w:p>
    <w:sectPr>
      <w:footnotePr/>
      <w:endnotePr/>
      <w:type w:val="nextPage"/>
      <w:pgSz w:w="11906" w:h="16838" w:orient="portrait"/>
      <w:pgMar w:top="567" w:right="567" w:bottom="567" w:left="851" w:header="709" w:footer="709"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10000000000000000"/>
  </w:font>
  <w:font w:name="Wingdings">
    <w:panose1 w:val="05010000000000000000"/>
  </w:font>
  <w:font w:name="Courier New">
    <w:panose1 w:val="02070409020205020404"/>
  </w:font>
  <w:font w:name="Segoe UI">
    <w:panose1 w:val="020B0502040504020204"/>
  </w:font>
  <w:font w:name="Calibri">
    <w:panose1 w:val="020F0502020204030204"/>
  </w:font>
  <w:font w:name="Calibri Light">
    <w:panose1 w:val="020F0502020204030204"/>
  </w:font>
  <w:font w:name="Times New Roman">
    <w:panose1 w:val="02020603050405020304"/>
  </w:font>
  <w:font w:name="Arial">
    <w:panose1 w:val="020B060402020202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0"/>
      <w:numFmt w:val="decimal"/>
      <w:isLgl w:val="false"/>
      <w:suff w:val="tab"/>
      <w:lvlText w:val="%1."/>
      <w:lvlJc w:val="left"/>
      <w:pPr>
        <w:ind w:left="405" w:hanging="405"/>
      </w:pPr>
      <w:rPr>
        <w:rFonts w:hint="default"/>
      </w:rPr>
    </w:lvl>
    <w:lvl w:ilvl="1">
      <w:start w:val="1"/>
      <w:numFmt w:val="decimal"/>
      <w:isLgl w:val="false"/>
      <w:suff w:val="tab"/>
      <w:lvlText w:val="%1.%2."/>
      <w:lvlJc w:val="left"/>
      <w:pPr>
        <w:ind w:left="1114" w:hanging="405"/>
      </w:pPr>
      <w:rPr>
        <w:rFonts w:hint="default"/>
      </w:rPr>
    </w:lvl>
    <w:lvl w:ilvl="2">
      <w:start w:val="1"/>
      <w:numFmt w:val="decimal"/>
      <w:isLgl w:val="false"/>
      <w:suff w:val="tab"/>
      <w:lvlText w:val="%1.%2.%3."/>
      <w:lvlJc w:val="left"/>
      <w:pPr>
        <w:ind w:left="2138" w:hanging="720"/>
      </w:pPr>
      <w:rPr>
        <w:rFonts w:hint="default"/>
      </w:rPr>
    </w:lvl>
    <w:lvl w:ilvl="3">
      <w:start w:val="1"/>
      <w:numFmt w:val="decimal"/>
      <w:isLgl w:val="false"/>
      <w:suff w:val="tab"/>
      <w:lvlText w:val="%1.%2.%3.%4."/>
      <w:lvlJc w:val="left"/>
      <w:pPr>
        <w:ind w:left="2847" w:hanging="720"/>
      </w:pPr>
      <w:rPr>
        <w:rFonts w:hint="default"/>
      </w:rPr>
    </w:lvl>
    <w:lvl w:ilvl="4">
      <w:start w:val="1"/>
      <w:numFmt w:val="decimal"/>
      <w:isLgl w:val="false"/>
      <w:suff w:val="tab"/>
      <w:lvlText w:val="%1.%2.%3.%4.%5."/>
      <w:lvlJc w:val="left"/>
      <w:pPr>
        <w:ind w:left="3916" w:hanging="1080"/>
      </w:pPr>
      <w:rPr>
        <w:rFonts w:hint="default"/>
      </w:rPr>
    </w:lvl>
    <w:lvl w:ilvl="5">
      <w:start w:val="1"/>
      <w:numFmt w:val="decimal"/>
      <w:isLgl w:val="false"/>
      <w:suff w:val="tab"/>
      <w:lvlText w:val="%1.%2.%3.%4.%5.%6."/>
      <w:lvlJc w:val="left"/>
      <w:pPr>
        <w:ind w:left="4625" w:hanging="1080"/>
      </w:pPr>
      <w:rPr>
        <w:rFonts w:hint="default"/>
      </w:rPr>
    </w:lvl>
    <w:lvl w:ilvl="6">
      <w:start w:val="1"/>
      <w:numFmt w:val="decimal"/>
      <w:isLgl w:val="false"/>
      <w:suff w:val="tab"/>
      <w:lvlText w:val="%1.%2.%3.%4.%5.%6.%7."/>
      <w:lvlJc w:val="left"/>
      <w:pPr>
        <w:ind w:left="5334" w:hanging="1080"/>
      </w:pPr>
      <w:rPr>
        <w:rFonts w:hint="default"/>
      </w:rPr>
    </w:lvl>
    <w:lvl w:ilvl="7">
      <w:start w:val="1"/>
      <w:numFmt w:val="decimal"/>
      <w:isLgl w:val="false"/>
      <w:suff w:val="tab"/>
      <w:lvlText w:val="%1.%2.%3.%4.%5.%6.%7.%8."/>
      <w:lvlJc w:val="left"/>
      <w:pPr>
        <w:ind w:left="6403" w:hanging="1440"/>
      </w:pPr>
      <w:rPr>
        <w:rFonts w:hint="default"/>
      </w:rPr>
    </w:lvl>
    <w:lvl w:ilvl="8">
      <w:start w:val="1"/>
      <w:numFmt w:val="decimal"/>
      <w:isLgl w:val="false"/>
      <w:suff w:val="tab"/>
      <w:lvlText w:val="%1.%2.%3.%4.%5.%6.%7.%8.%9."/>
      <w:lvlJc w:val="left"/>
      <w:pPr>
        <w:ind w:left="7112" w:hanging="1440"/>
      </w:pPr>
      <w:rPr>
        <w:rFonts w:hint="default"/>
      </w:rPr>
    </w:lvl>
  </w:abstractNum>
  <w:abstractNum w:abstractNumId="1">
    <w:multiLevelType w:val="hybridMultilevel"/>
    <w:lvl w:ilvl="0">
      <w:start w:val="4"/>
      <w:numFmt w:val="decimal"/>
      <w:isLgl w:val="false"/>
      <w:suff w:val="tab"/>
      <w:lvlText w:val="%1."/>
      <w:lvlJc w:val="left"/>
      <w:pPr>
        <w:tabs>
          <w:tab w:val="num" w:pos="360" w:leader="none"/>
        </w:tabs>
        <w:ind w:left="360" w:hanging="360"/>
      </w:pPr>
      <w:rPr>
        <w:rFonts w:hint="default"/>
      </w:rPr>
    </w:lvl>
    <w:lvl w:ilvl="1">
      <w:start w:val="4"/>
      <w:numFmt w:val="decimal"/>
      <w:isLgl w:val="false"/>
      <w:suff w:val="tab"/>
      <w:lvlText w:val="%1.%2."/>
      <w:lvlJc w:val="left"/>
      <w:pPr>
        <w:tabs>
          <w:tab w:val="num" w:pos="644" w:leader="none"/>
        </w:tabs>
        <w:ind w:left="644" w:hanging="360"/>
      </w:pPr>
      <w:rPr>
        <w:rFonts w:hint="default"/>
      </w:rPr>
    </w:lvl>
    <w:lvl w:ilvl="2">
      <w:start w:val="1"/>
      <w:numFmt w:val="decimal"/>
      <w:isLgl w:val="false"/>
      <w:suff w:val="tab"/>
      <w:lvlText w:val="%1.%2.%3."/>
      <w:lvlJc w:val="left"/>
      <w:pPr>
        <w:tabs>
          <w:tab w:val="num" w:pos="1288" w:leader="none"/>
        </w:tabs>
        <w:ind w:left="1288" w:hanging="720"/>
      </w:pPr>
      <w:rPr>
        <w:rFonts w:hint="default"/>
      </w:rPr>
    </w:lvl>
    <w:lvl w:ilvl="3">
      <w:start w:val="1"/>
      <w:numFmt w:val="decimal"/>
      <w:isLgl w:val="false"/>
      <w:suff w:val="tab"/>
      <w:lvlText w:val="%1.%2.%3.%4."/>
      <w:lvlJc w:val="left"/>
      <w:pPr>
        <w:tabs>
          <w:tab w:val="num" w:pos="1572" w:leader="none"/>
        </w:tabs>
        <w:ind w:left="1572" w:hanging="720"/>
      </w:pPr>
      <w:rPr>
        <w:rFonts w:hint="default"/>
      </w:rPr>
    </w:lvl>
    <w:lvl w:ilvl="4">
      <w:start w:val="1"/>
      <w:numFmt w:val="decimal"/>
      <w:isLgl w:val="false"/>
      <w:suff w:val="tab"/>
      <w:lvlText w:val="%1.%2.%3.%4.%5."/>
      <w:lvlJc w:val="left"/>
      <w:pPr>
        <w:tabs>
          <w:tab w:val="num" w:pos="1856" w:leader="none"/>
        </w:tabs>
        <w:ind w:left="1856" w:hanging="720"/>
      </w:pPr>
      <w:rPr>
        <w:rFonts w:hint="default"/>
      </w:rPr>
    </w:lvl>
    <w:lvl w:ilvl="5">
      <w:start w:val="1"/>
      <w:numFmt w:val="decimal"/>
      <w:isLgl w:val="false"/>
      <w:suff w:val="tab"/>
      <w:lvlText w:val="%1.%2.%3.%4.%5.%6."/>
      <w:lvlJc w:val="left"/>
      <w:pPr>
        <w:tabs>
          <w:tab w:val="num" w:pos="2500" w:leader="none"/>
        </w:tabs>
        <w:ind w:left="2500" w:hanging="1080"/>
      </w:pPr>
      <w:rPr>
        <w:rFonts w:hint="default"/>
      </w:rPr>
    </w:lvl>
    <w:lvl w:ilvl="6">
      <w:start w:val="1"/>
      <w:numFmt w:val="decimal"/>
      <w:isLgl w:val="false"/>
      <w:suff w:val="tab"/>
      <w:lvlText w:val="%1.%2.%3.%4.%5.%6.%7."/>
      <w:lvlJc w:val="left"/>
      <w:pPr>
        <w:tabs>
          <w:tab w:val="num" w:pos="2784" w:leader="none"/>
        </w:tabs>
        <w:ind w:left="2784" w:hanging="1080"/>
      </w:pPr>
      <w:rPr>
        <w:rFonts w:hint="default"/>
      </w:rPr>
    </w:lvl>
    <w:lvl w:ilvl="7">
      <w:start w:val="1"/>
      <w:numFmt w:val="decimal"/>
      <w:isLgl w:val="false"/>
      <w:suff w:val="tab"/>
      <w:lvlText w:val="%1.%2.%3.%4.%5.%6.%7.%8."/>
      <w:lvlJc w:val="left"/>
      <w:pPr>
        <w:tabs>
          <w:tab w:val="num" w:pos="3068" w:leader="none"/>
        </w:tabs>
        <w:ind w:left="3068" w:hanging="1080"/>
      </w:pPr>
      <w:rPr>
        <w:rFonts w:hint="default"/>
      </w:rPr>
    </w:lvl>
    <w:lvl w:ilvl="8">
      <w:start w:val="1"/>
      <w:numFmt w:val="decimal"/>
      <w:isLgl w:val="false"/>
      <w:suff w:val="tab"/>
      <w:lvlText w:val="%1.%2.%3.%4.%5.%6.%7.%8.%9."/>
      <w:lvlJc w:val="left"/>
      <w:pPr>
        <w:tabs>
          <w:tab w:val="num" w:pos="3712" w:leader="none"/>
        </w:tabs>
        <w:ind w:left="3712" w:hanging="1440"/>
      </w:pPr>
      <w:rPr>
        <w:rFonts w:hint="default"/>
      </w:rPr>
    </w:lvl>
  </w:abstractNum>
  <w:abstractNum w:abstractNumId="2">
    <w:multiLevelType w:val="hybridMultilevel"/>
    <w:lvl w:ilvl="0">
      <w:start w:val="5"/>
      <w:numFmt w:val="decimal"/>
      <w:isLgl w:val="false"/>
      <w:suff w:val="space"/>
      <w:lvlText w:val="%1."/>
      <w:lvlJc w:val="left"/>
      <w:pPr>
        <w:ind w:left="360" w:hanging="360"/>
      </w:pPr>
      <w:rPr>
        <w:rFonts w:hint="default"/>
      </w:rPr>
    </w:lvl>
    <w:lvl w:ilvl="1">
      <w:start w:val="1"/>
      <w:numFmt w:val="decimal"/>
      <w:isLgl w:val="false"/>
      <w:suff w:val="space"/>
      <w:lvlText w:val="%1.%2."/>
      <w:lvlJc w:val="left"/>
      <w:pPr>
        <w:ind w:left="0" w:firstLine="0"/>
      </w:pPr>
      <w:rPr>
        <w:rFonts w:hint="default"/>
        <w:strike w:val="0"/>
      </w:rPr>
    </w:lvl>
    <w:lvl w:ilvl="2">
      <w:start w:val="1"/>
      <w:numFmt w:val="decimal"/>
      <w:isLgl w:val="false"/>
      <w:suff w:val="tab"/>
      <w:lvlText w:val="%1.%2.%3."/>
      <w:lvlJc w:val="left"/>
      <w:pPr>
        <w:tabs>
          <w:tab w:val="num" w:pos="1288" w:leader="none"/>
        </w:tabs>
        <w:ind w:left="1288" w:hanging="720"/>
      </w:pPr>
      <w:rPr>
        <w:rFonts w:hint="default"/>
      </w:rPr>
    </w:lvl>
    <w:lvl w:ilvl="3">
      <w:start w:val="1"/>
      <w:numFmt w:val="decimal"/>
      <w:isLgl w:val="false"/>
      <w:suff w:val="tab"/>
      <w:lvlText w:val="%1.%2.%3.%4."/>
      <w:lvlJc w:val="left"/>
      <w:pPr>
        <w:tabs>
          <w:tab w:val="num" w:pos="1572" w:leader="none"/>
        </w:tabs>
        <w:ind w:left="1572" w:hanging="720"/>
      </w:pPr>
      <w:rPr>
        <w:rFonts w:hint="default"/>
      </w:rPr>
    </w:lvl>
    <w:lvl w:ilvl="4">
      <w:start w:val="1"/>
      <w:numFmt w:val="decimal"/>
      <w:isLgl w:val="false"/>
      <w:suff w:val="tab"/>
      <w:lvlText w:val="%1.%2.%3.%4.%5."/>
      <w:lvlJc w:val="left"/>
      <w:pPr>
        <w:tabs>
          <w:tab w:val="num" w:pos="1856" w:leader="none"/>
        </w:tabs>
        <w:ind w:left="1856" w:hanging="720"/>
      </w:pPr>
      <w:rPr>
        <w:rFonts w:hint="default"/>
      </w:rPr>
    </w:lvl>
    <w:lvl w:ilvl="5">
      <w:start w:val="1"/>
      <w:numFmt w:val="decimal"/>
      <w:isLgl w:val="false"/>
      <w:suff w:val="tab"/>
      <w:lvlText w:val="%1.%2.%3.%4.%5.%6."/>
      <w:lvlJc w:val="left"/>
      <w:pPr>
        <w:tabs>
          <w:tab w:val="num" w:pos="2500" w:leader="none"/>
        </w:tabs>
        <w:ind w:left="2500" w:hanging="1080"/>
      </w:pPr>
      <w:rPr>
        <w:rFonts w:hint="default"/>
      </w:rPr>
    </w:lvl>
    <w:lvl w:ilvl="6">
      <w:start w:val="1"/>
      <w:numFmt w:val="decimal"/>
      <w:isLgl w:val="false"/>
      <w:suff w:val="tab"/>
      <w:lvlText w:val="%1.%2.%3.%4.%5.%6.%7."/>
      <w:lvlJc w:val="left"/>
      <w:pPr>
        <w:tabs>
          <w:tab w:val="num" w:pos="2784" w:leader="none"/>
        </w:tabs>
        <w:ind w:left="2784" w:hanging="1080"/>
      </w:pPr>
      <w:rPr>
        <w:rFonts w:hint="default"/>
      </w:rPr>
    </w:lvl>
    <w:lvl w:ilvl="7">
      <w:start w:val="1"/>
      <w:numFmt w:val="decimal"/>
      <w:isLgl w:val="false"/>
      <w:suff w:val="tab"/>
      <w:lvlText w:val="%1.%2.%3.%4.%5.%6.%7.%8."/>
      <w:lvlJc w:val="left"/>
      <w:pPr>
        <w:tabs>
          <w:tab w:val="num" w:pos="3068" w:leader="none"/>
        </w:tabs>
        <w:ind w:left="3068" w:hanging="1080"/>
      </w:pPr>
      <w:rPr>
        <w:rFonts w:hint="default"/>
      </w:rPr>
    </w:lvl>
    <w:lvl w:ilvl="8">
      <w:start w:val="1"/>
      <w:numFmt w:val="decimal"/>
      <w:isLgl w:val="false"/>
      <w:suff w:val="tab"/>
      <w:lvlText w:val="%1.%2.%3.%4.%5.%6.%7.%8.%9."/>
      <w:lvlJc w:val="left"/>
      <w:pPr>
        <w:tabs>
          <w:tab w:val="num" w:pos="3712" w:leader="none"/>
        </w:tabs>
        <w:ind w:left="3712" w:hanging="1440"/>
      </w:pPr>
      <w:rPr>
        <w:rFonts w:hint="default"/>
      </w:rPr>
    </w:lvl>
  </w:abstractNum>
  <w:abstractNum w:abstractNumId="3">
    <w:multiLevelType w:val="hybridMultilevel"/>
    <w:lvl w:ilvl="0">
      <w:start w:val="9"/>
      <w:numFmt w:val="bullet"/>
      <w:isLgl w:val="false"/>
      <w:suff w:val="tab"/>
      <w:lvlText w:val="-"/>
      <w:lvlJc w:val="left"/>
      <w:pPr>
        <w:ind w:left="720" w:hanging="360"/>
      </w:pPr>
      <w:rPr>
        <w:rFonts w:hint="default" w:ascii="Arial" w:hAnsi="Arial" w:eastAsia="Times New Roman" w:cs="Aria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4">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5">
    <w:multiLevelType w:val="hybridMultilevel"/>
    <w:lvl w:ilvl="0">
      <w:start w:val="10"/>
      <w:numFmt w:val="decimal"/>
      <w:isLgl w:val="false"/>
      <w:suff w:val="tab"/>
      <w:lvlText w:val="%1."/>
      <w:lvlJc w:val="left"/>
      <w:pPr>
        <w:ind w:left="360" w:hanging="360"/>
      </w:pPr>
      <w:rPr>
        <w:rFonts w:hint="default" w:ascii="Times New Roman" w:hAnsi="Times New Roman" w:cs="Times New Roman"/>
      </w:rPr>
    </w:lvl>
    <w:lvl w:ilvl="1">
      <w:start w:val="1"/>
      <w:numFmt w:val="decimal"/>
      <w:isLgl w:val="false"/>
      <w:suff w:val="tab"/>
      <w:lvlText w:val="%1.%2."/>
      <w:lvlJc w:val="left"/>
      <w:pPr>
        <w:ind w:left="1069" w:hanging="360"/>
      </w:pPr>
      <w:rPr>
        <w:rFonts w:hint="default"/>
        <w:sz w:val="24"/>
        <w:szCs w:val="24"/>
      </w:rPr>
    </w:lvl>
    <w:lvl w:ilvl="2">
      <w:start w:val="1"/>
      <w:numFmt w:val="decimal"/>
      <w:isLgl w:val="false"/>
      <w:suff w:val="tab"/>
      <w:lvlText w:val="%1.%2.%3."/>
      <w:lvlJc w:val="left"/>
      <w:pPr>
        <w:ind w:left="2138" w:hanging="720"/>
      </w:pPr>
      <w:rPr>
        <w:rFonts w:hint="default"/>
      </w:rPr>
    </w:lvl>
    <w:lvl w:ilvl="3">
      <w:start w:val="1"/>
      <w:numFmt w:val="decimal"/>
      <w:isLgl w:val="false"/>
      <w:suff w:val="tab"/>
      <w:lvlText w:val="%1.%2.%3.%4."/>
      <w:lvlJc w:val="left"/>
      <w:pPr>
        <w:ind w:left="2847" w:hanging="720"/>
      </w:pPr>
      <w:rPr>
        <w:rFonts w:hint="default"/>
      </w:rPr>
    </w:lvl>
    <w:lvl w:ilvl="4">
      <w:start w:val="1"/>
      <w:numFmt w:val="decimal"/>
      <w:isLgl w:val="false"/>
      <w:suff w:val="tab"/>
      <w:lvlText w:val="%1.%2.%3.%4.%5."/>
      <w:lvlJc w:val="left"/>
      <w:pPr>
        <w:ind w:left="3916" w:hanging="1080"/>
      </w:pPr>
      <w:rPr>
        <w:rFonts w:hint="default"/>
      </w:rPr>
    </w:lvl>
    <w:lvl w:ilvl="5">
      <w:start w:val="1"/>
      <w:numFmt w:val="decimal"/>
      <w:isLgl w:val="false"/>
      <w:suff w:val="tab"/>
      <w:lvlText w:val="%1.%2.%3.%4.%5.%6."/>
      <w:lvlJc w:val="left"/>
      <w:pPr>
        <w:ind w:left="4625" w:hanging="1080"/>
      </w:pPr>
      <w:rPr>
        <w:rFonts w:hint="default"/>
      </w:rPr>
    </w:lvl>
    <w:lvl w:ilvl="6">
      <w:start w:val="1"/>
      <w:numFmt w:val="decimal"/>
      <w:isLgl w:val="false"/>
      <w:suff w:val="tab"/>
      <w:lvlText w:val="%1.%2.%3.%4.%5.%6.%7."/>
      <w:lvlJc w:val="left"/>
      <w:pPr>
        <w:ind w:left="5694" w:hanging="1440"/>
      </w:pPr>
      <w:rPr>
        <w:rFonts w:hint="default"/>
      </w:rPr>
    </w:lvl>
    <w:lvl w:ilvl="7">
      <w:start w:val="1"/>
      <w:numFmt w:val="decimal"/>
      <w:isLgl w:val="false"/>
      <w:suff w:val="tab"/>
      <w:lvlText w:val="%1.%2.%3.%4.%5.%6.%7.%8."/>
      <w:lvlJc w:val="left"/>
      <w:pPr>
        <w:ind w:left="6403" w:hanging="1440"/>
      </w:pPr>
      <w:rPr>
        <w:rFonts w:hint="default"/>
      </w:rPr>
    </w:lvl>
    <w:lvl w:ilvl="8">
      <w:start w:val="1"/>
      <w:numFmt w:val="decimal"/>
      <w:isLgl w:val="false"/>
      <w:suff w:val="tab"/>
      <w:lvlText w:val="%1.%2.%3.%4.%5.%6.%7.%8.%9."/>
      <w:lvlJc w:val="left"/>
      <w:pPr>
        <w:ind w:left="7472" w:hanging="1800"/>
      </w:pPr>
      <w:rPr>
        <w:rFonts w:hint="default"/>
      </w:rPr>
    </w:lvl>
  </w:abstractNum>
  <w:abstractNum w:abstractNumId="6">
    <w:multiLevelType w:val="hybridMultilevel"/>
    <w:lvl w:ilvl="0">
      <w:start w:val="1"/>
      <w:numFmt w:val="decimal"/>
      <w:isLgl w:val="false"/>
      <w:suff w:val="space"/>
      <w:lvlText w:val="%1."/>
      <w:lvlJc w:val="center"/>
      <w:pPr>
        <w:ind w:left="0" w:firstLine="0"/>
      </w:pPr>
      <w:rPr>
        <w:rFonts w:hint="default"/>
      </w:rPr>
    </w:lvl>
    <w:lvl w:ilvl="1">
      <w:start w:val="1"/>
      <w:numFmt w:val="decimal"/>
      <w:isLgl w:val="false"/>
      <w:suff w:val="space"/>
      <w:lvlText w:val="%1.%2."/>
      <w:lvlJc w:val="left"/>
      <w:pPr>
        <w:ind w:left="0" w:firstLine="0"/>
      </w:pPr>
      <w:rPr>
        <w:rFonts w:hint="default"/>
        <w:strike w:val="0"/>
      </w:rPr>
    </w:lvl>
    <w:lvl w:ilvl="2">
      <w:start w:val="1"/>
      <w:numFmt w:val="decimal"/>
      <w:isLgl w:val="false"/>
      <w:suff w:val="tab"/>
      <w:lvlText w:val="%1.%2.%3."/>
      <w:lvlJc w:val="left"/>
      <w:pPr>
        <w:tabs>
          <w:tab w:val="num" w:pos="0" w:leader="none"/>
        </w:tabs>
        <w:ind w:left="0" w:firstLine="0"/>
      </w:pPr>
      <w:rPr>
        <w:rFonts w:hint="default" w:ascii="Arial" w:hAnsi="Arial" w:cs="Arial"/>
        <w:sz w:val="18"/>
        <w:szCs w:val="16"/>
      </w:rPr>
    </w:lvl>
    <w:lvl w:ilvl="3">
      <w:start w:val="1"/>
      <w:numFmt w:val="decimal"/>
      <w:isLgl w:val="false"/>
      <w:suff w:val="tab"/>
      <w:lvlText w:val="%1.%2.%3.%4."/>
      <w:lvlJc w:val="left"/>
      <w:pPr>
        <w:tabs>
          <w:tab w:val="num" w:pos="0" w:leader="none"/>
        </w:tabs>
        <w:ind w:left="0" w:firstLine="0"/>
      </w:pPr>
      <w:rPr>
        <w:rFonts w:hint="default"/>
      </w:rPr>
    </w:lvl>
    <w:lvl w:ilvl="4">
      <w:start w:val="1"/>
      <w:numFmt w:val="decimal"/>
      <w:isLgl w:val="false"/>
      <w:suff w:val="tab"/>
      <w:lvlText w:val="%1.%2.%3.%4.%5."/>
      <w:lvlJc w:val="left"/>
      <w:pPr>
        <w:tabs>
          <w:tab w:val="num" w:pos="0" w:leader="none"/>
        </w:tabs>
        <w:ind w:left="0" w:firstLine="0"/>
      </w:pPr>
      <w:rPr>
        <w:rFonts w:hint="default"/>
      </w:rPr>
    </w:lvl>
    <w:lvl w:ilvl="5">
      <w:start w:val="1"/>
      <w:numFmt w:val="decimal"/>
      <w:isLgl w:val="false"/>
      <w:suff w:val="tab"/>
      <w:lvlText w:val="%1.%2.%3.%4.%5.%6."/>
      <w:lvlJc w:val="left"/>
      <w:pPr>
        <w:tabs>
          <w:tab w:val="num" w:pos="2880" w:leader="none"/>
        </w:tabs>
        <w:ind w:left="2736" w:hanging="936"/>
      </w:pPr>
      <w:rPr>
        <w:rFonts w:hint="default"/>
      </w:rPr>
    </w:lvl>
    <w:lvl w:ilvl="6">
      <w:start w:val="1"/>
      <w:numFmt w:val="decimal"/>
      <w:isLgl w:val="false"/>
      <w:suff w:val="tab"/>
      <w:lvlText w:val="%1.%2.%3.%4.%5.%6.%7."/>
      <w:lvlJc w:val="left"/>
      <w:pPr>
        <w:tabs>
          <w:tab w:val="num" w:pos="3600" w:leader="none"/>
        </w:tabs>
        <w:ind w:left="3240" w:hanging="1080"/>
      </w:pPr>
      <w:rPr>
        <w:rFonts w:hint="default"/>
      </w:rPr>
    </w:lvl>
    <w:lvl w:ilvl="7">
      <w:start w:val="1"/>
      <w:numFmt w:val="decimal"/>
      <w:isLgl w:val="false"/>
      <w:suff w:val="tab"/>
      <w:lvlText w:val="%1.%2.%3.%4.%5.%6.%7.%8."/>
      <w:lvlJc w:val="left"/>
      <w:pPr>
        <w:tabs>
          <w:tab w:val="num" w:pos="3960" w:leader="none"/>
        </w:tabs>
        <w:ind w:left="3744" w:hanging="1224"/>
      </w:pPr>
      <w:rPr>
        <w:rFonts w:hint="default"/>
      </w:rPr>
    </w:lvl>
    <w:lvl w:ilvl="8">
      <w:start w:val="1"/>
      <w:numFmt w:val="decimal"/>
      <w:isLgl w:val="false"/>
      <w:suff w:val="tab"/>
      <w:lvlText w:val="%1.%2.%3.%4.%5.%6.%7.%8.%9."/>
      <w:lvlJc w:val="left"/>
      <w:pPr>
        <w:tabs>
          <w:tab w:val="num" w:pos="4680" w:leader="none"/>
        </w:tabs>
        <w:ind w:left="4320" w:hanging="1440"/>
      </w:pPr>
      <w:rPr>
        <w:rFonts w:hint="default"/>
      </w:rPr>
    </w:lvl>
  </w:abstractNum>
  <w:abstractNum w:abstractNumId="7">
    <w:multiLevelType w:val="hybridMultilevel"/>
    <w:lvl w:ilvl="0">
      <w:start w:val="8"/>
      <w:numFmt w:val="decimal"/>
      <w:isLgl w:val="false"/>
      <w:suff w:val="tab"/>
      <w:lvlText w:val="%1."/>
      <w:lvlJc w:val="left"/>
      <w:pPr>
        <w:ind w:left="360" w:hanging="360"/>
      </w:pPr>
      <w:rPr>
        <w:rFonts w:hint="default"/>
      </w:rPr>
    </w:lvl>
    <w:lvl w:ilvl="1">
      <w:start w:val="1"/>
      <w:numFmt w:val="decimal"/>
      <w:isLgl w:val="false"/>
      <w:suff w:val="tab"/>
      <w:lvlText w:val="%1.%2."/>
      <w:lvlJc w:val="left"/>
      <w:pPr>
        <w:ind w:left="360" w:hanging="360"/>
      </w:pPr>
      <w:rPr>
        <w:rFonts w:hint="default"/>
        <w:strike w:val="0"/>
      </w:rPr>
    </w:lvl>
    <w:lvl w:ilvl="2">
      <w:start w:val="1"/>
      <w:numFmt w:val="decimal"/>
      <w:isLgl w:val="false"/>
      <w:suff w:val="tab"/>
      <w:lvlText w:val="%1.%2.%3."/>
      <w:lvlJc w:val="left"/>
      <w:pPr>
        <w:ind w:left="720" w:hanging="720"/>
      </w:pPr>
      <w:rPr>
        <w:rFonts w:hint="default"/>
      </w:rPr>
    </w:lvl>
    <w:lvl w:ilvl="3">
      <w:start w:val="1"/>
      <w:numFmt w:val="decimal"/>
      <w:isLgl w:val="false"/>
      <w:suff w:val="tab"/>
      <w:lvlText w:val="%1.%2.%3.%4."/>
      <w:lvlJc w:val="left"/>
      <w:pPr>
        <w:ind w:left="720" w:hanging="720"/>
      </w:pPr>
      <w:rPr>
        <w:rFonts w:hint="default"/>
      </w:rPr>
    </w:lvl>
    <w:lvl w:ilvl="4">
      <w:start w:val="1"/>
      <w:numFmt w:val="decimal"/>
      <w:isLgl w:val="false"/>
      <w:suff w:val="tab"/>
      <w:lvlText w:val="%1.%2.%3.%4.%5."/>
      <w:lvlJc w:val="left"/>
      <w:pPr>
        <w:ind w:left="720" w:hanging="720"/>
      </w:pPr>
      <w:rPr>
        <w:rFonts w:hint="default"/>
      </w:rPr>
    </w:lvl>
    <w:lvl w:ilvl="5">
      <w:start w:val="1"/>
      <w:numFmt w:val="decimal"/>
      <w:isLgl w:val="false"/>
      <w:suff w:val="tab"/>
      <w:lvlText w:val="%1.%2.%3.%4.%5.%6."/>
      <w:lvlJc w:val="left"/>
      <w:pPr>
        <w:ind w:left="1080" w:hanging="1080"/>
      </w:pPr>
      <w:rPr>
        <w:rFonts w:hint="default"/>
      </w:rPr>
    </w:lvl>
    <w:lvl w:ilvl="6">
      <w:start w:val="1"/>
      <w:numFmt w:val="decimal"/>
      <w:isLgl w:val="false"/>
      <w:suff w:val="tab"/>
      <w:lvlText w:val="%1.%2.%3.%4.%5.%6.%7."/>
      <w:lvlJc w:val="left"/>
      <w:pPr>
        <w:ind w:left="1080" w:hanging="1080"/>
      </w:pPr>
      <w:rPr>
        <w:rFonts w:hint="default"/>
      </w:rPr>
    </w:lvl>
    <w:lvl w:ilvl="7">
      <w:start w:val="1"/>
      <w:numFmt w:val="decimal"/>
      <w:isLgl w:val="false"/>
      <w:suff w:val="tab"/>
      <w:lvlText w:val="%1.%2.%3.%4.%5.%6.%7.%8."/>
      <w:lvlJc w:val="left"/>
      <w:pPr>
        <w:ind w:left="1080" w:hanging="1080"/>
      </w:pPr>
      <w:rPr>
        <w:rFonts w:hint="default"/>
      </w:rPr>
    </w:lvl>
    <w:lvl w:ilvl="8">
      <w:start w:val="1"/>
      <w:numFmt w:val="decimal"/>
      <w:isLgl w:val="false"/>
      <w:suff w:val="tab"/>
      <w:lvlText w:val="%1.%2.%3.%4.%5.%6.%7.%8.%9."/>
      <w:lvlJc w:val="left"/>
      <w:pPr>
        <w:ind w:left="1440" w:hanging="1440"/>
      </w:pPr>
      <w:rPr>
        <w:rFonts w:hint="default"/>
      </w:rPr>
    </w:lvl>
  </w:abstractNum>
  <w:abstractNum w:abstractNumId="8">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9">
    <w:multiLevelType w:val="hybridMultilevel"/>
    <w:lvl w:ilvl="0">
      <w:start w:val="4"/>
      <w:numFmt w:val="decimal"/>
      <w:isLgl w:val="false"/>
      <w:suff w:val="tab"/>
      <w:lvlText w:val="%1."/>
      <w:lvlJc w:val="left"/>
      <w:pPr>
        <w:tabs>
          <w:tab w:val="num" w:pos="360" w:leader="none"/>
        </w:tabs>
        <w:ind w:left="360" w:hanging="360"/>
      </w:pPr>
      <w:rPr>
        <w:rFonts w:hint="default"/>
      </w:rPr>
    </w:lvl>
    <w:lvl w:ilvl="1">
      <w:start w:val="8"/>
      <w:numFmt w:val="decimal"/>
      <w:isLgl w:val="false"/>
      <w:suff w:val="space"/>
      <w:lvlText w:val="%1.%2."/>
      <w:lvlJc w:val="left"/>
      <w:pPr>
        <w:ind w:left="0" w:firstLine="0"/>
      </w:pPr>
      <w:rPr>
        <w:rFonts w:hint="default"/>
      </w:rPr>
    </w:lvl>
    <w:lvl w:ilvl="2">
      <w:start w:val="1"/>
      <w:numFmt w:val="decimal"/>
      <w:isLgl w:val="false"/>
      <w:suff w:val="tab"/>
      <w:lvlText w:val="%1.%2.%3."/>
      <w:lvlJc w:val="left"/>
      <w:pPr>
        <w:tabs>
          <w:tab w:val="num" w:pos="1288" w:leader="none"/>
        </w:tabs>
        <w:ind w:left="1288" w:hanging="720"/>
      </w:pPr>
      <w:rPr>
        <w:rFonts w:hint="default"/>
      </w:rPr>
    </w:lvl>
    <w:lvl w:ilvl="3">
      <w:start w:val="1"/>
      <w:numFmt w:val="decimal"/>
      <w:isLgl w:val="false"/>
      <w:suff w:val="tab"/>
      <w:lvlText w:val="%1.%2.%3.%4."/>
      <w:lvlJc w:val="left"/>
      <w:pPr>
        <w:tabs>
          <w:tab w:val="num" w:pos="1572" w:leader="none"/>
        </w:tabs>
        <w:ind w:left="1572" w:hanging="720"/>
      </w:pPr>
      <w:rPr>
        <w:rFonts w:hint="default"/>
      </w:rPr>
    </w:lvl>
    <w:lvl w:ilvl="4">
      <w:start w:val="1"/>
      <w:numFmt w:val="decimal"/>
      <w:isLgl w:val="false"/>
      <w:suff w:val="tab"/>
      <w:lvlText w:val="%1.%2.%3.%4.%5."/>
      <w:lvlJc w:val="left"/>
      <w:pPr>
        <w:tabs>
          <w:tab w:val="num" w:pos="1856" w:leader="none"/>
        </w:tabs>
        <w:ind w:left="1856" w:hanging="720"/>
      </w:pPr>
      <w:rPr>
        <w:rFonts w:hint="default"/>
      </w:rPr>
    </w:lvl>
    <w:lvl w:ilvl="5">
      <w:start w:val="1"/>
      <w:numFmt w:val="decimal"/>
      <w:isLgl w:val="false"/>
      <w:suff w:val="tab"/>
      <w:lvlText w:val="%1.%2.%3.%4.%5.%6."/>
      <w:lvlJc w:val="left"/>
      <w:pPr>
        <w:tabs>
          <w:tab w:val="num" w:pos="2500" w:leader="none"/>
        </w:tabs>
        <w:ind w:left="2500" w:hanging="1080"/>
      </w:pPr>
      <w:rPr>
        <w:rFonts w:hint="default"/>
      </w:rPr>
    </w:lvl>
    <w:lvl w:ilvl="6">
      <w:start w:val="1"/>
      <w:numFmt w:val="decimal"/>
      <w:isLgl w:val="false"/>
      <w:suff w:val="tab"/>
      <w:lvlText w:val="%1.%2.%3.%4.%5.%6.%7."/>
      <w:lvlJc w:val="left"/>
      <w:pPr>
        <w:tabs>
          <w:tab w:val="num" w:pos="2784" w:leader="none"/>
        </w:tabs>
        <w:ind w:left="2784" w:hanging="1080"/>
      </w:pPr>
      <w:rPr>
        <w:rFonts w:hint="default"/>
      </w:rPr>
    </w:lvl>
    <w:lvl w:ilvl="7">
      <w:start w:val="1"/>
      <w:numFmt w:val="decimal"/>
      <w:isLgl w:val="false"/>
      <w:suff w:val="tab"/>
      <w:lvlText w:val="%1.%2.%3.%4.%5.%6.%7.%8."/>
      <w:lvlJc w:val="left"/>
      <w:pPr>
        <w:tabs>
          <w:tab w:val="num" w:pos="3068" w:leader="none"/>
        </w:tabs>
        <w:ind w:left="3068" w:hanging="1080"/>
      </w:pPr>
      <w:rPr>
        <w:rFonts w:hint="default"/>
      </w:rPr>
    </w:lvl>
    <w:lvl w:ilvl="8">
      <w:start w:val="1"/>
      <w:numFmt w:val="decimal"/>
      <w:isLgl w:val="false"/>
      <w:suff w:val="tab"/>
      <w:lvlText w:val="%1.%2.%3.%4.%5.%6.%7.%8.%9."/>
      <w:lvlJc w:val="left"/>
      <w:pPr>
        <w:tabs>
          <w:tab w:val="num" w:pos="3712" w:leader="none"/>
        </w:tabs>
        <w:ind w:left="3712" w:hanging="1440"/>
      </w:pPr>
      <w:rPr>
        <w:rFonts w:hint="default"/>
      </w:rPr>
    </w:lvl>
  </w:abstractNum>
  <w:abstractNum w:abstractNumId="10">
    <w:multiLevelType w:val="hybridMultilevel"/>
    <w:lvl w:ilvl="0">
      <w:start w:val="1"/>
      <w:numFmt w:val="decimal"/>
      <w:isLgl w:val="false"/>
      <w:suff w:val="tab"/>
      <w:lvlText w:val="4%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1">
    <w:multiLevelType w:val="hybridMultilevel"/>
    <w:lvl w:ilvl="0">
      <w:start w:val="1"/>
      <w:numFmt w:val="decimal"/>
      <w:isLgl w:val="false"/>
      <w:suff w:val="tab"/>
      <w:lvlText w:val="%1."/>
      <w:lvlJc w:val="left"/>
      <w:pPr>
        <w:tabs>
          <w:tab w:val="num" w:pos="360" w:leader="none"/>
        </w:tabs>
        <w:ind w:left="360" w:hanging="360"/>
      </w:pPr>
      <w:rPr>
        <w:rFonts w:hint="default"/>
      </w:rPr>
    </w:lvl>
    <w:lvl w:ilvl="1">
      <w:start w:val="1"/>
      <w:numFmt w:val="decimal"/>
      <w:isLgl w:val="false"/>
      <w:suff w:val="tab"/>
      <w:lvlText w:val="%1.%2."/>
      <w:lvlJc w:val="left"/>
      <w:pPr>
        <w:tabs>
          <w:tab w:val="num" w:pos="360" w:leader="none"/>
        </w:tabs>
        <w:ind w:left="360" w:hanging="360"/>
      </w:pPr>
      <w:rPr>
        <w:rFonts w:hint="default"/>
      </w:rPr>
    </w:lvl>
    <w:lvl w:ilvl="2">
      <w:start w:val="1"/>
      <w:numFmt w:val="decimal"/>
      <w:isLgl w:val="false"/>
      <w:suff w:val="tab"/>
      <w:lvlText w:val="%1.%2.%3."/>
      <w:lvlJc w:val="left"/>
      <w:pPr>
        <w:tabs>
          <w:tab w:val="num" w:pos="720" w:leader="none"/>
        </w:tabs>
        <w:ind w:left="720" w:hanging="720"/>
      </w:pPr>
      <w:rPr>
        <w:rFonts w:hint="default"/>
      </w:rPr>
    </w:lvl>
    <w:lvl w:ilvl="3">
      <w:start w:val="1"/>
      <w:numFmt w:val="decimal"/>
      <w:isLgl w:val="false"/>
      <w:suff w:val="tab"/>
      <w:lvlText w:val="%1.%2.%3.%4."/>
      <w:lvlJc w:val="left"/>
      <w:pPr>
        <w:tabs>
          <w:tab w:val="num" w:pos="720" w:leader="none"/>
        </w:tabs>
        <w:ind w:left="720" w:hanging="720"/>
      </w:pPr>
      <w:rPr>
        <w:rFonts w:hint="default"/>
      </w:rPr>
    </w:lvl>
    <w:lvl w:ilvl="4">
      <w:start w:val="1"/>
      <w:numFmt w:val="decimal"/>
      <w:isLgl w:val="false"/>
      <w:suff w:val="tab"/>
      <w:lvlText w:val="%1.%2.%3.%4.%5."/>
      <w:lvlJc w:val="left"/>
      <w:pPr>
        <w:tabs>
          <w:tab w:val="num" w:pos="720" w:leader="none"/>
        </w:tabs>
        <w:ind w:left="720" w:hanging="720"/>
      </w:pPr>
      <w:rPr>
        <w:rFonts w:hint="default"/>
      </w:rPr>
    </w:lvl>
    <w:lvl w:ilvl="5">
      <w:start w:val="1"/>
      <w:numFmt w:val="decimal"/>
      <w:isLgl w:val="false"/>
      <w:suff w:val="tab"/>
      <w:lvlText w:val="%1.%2.%3.%4.%5.%6."/>
      <w:lvlJc w:val="left"/>
      <w:pPr>
        <w:tabs>
          <w:tab w:val="num" w:pos="1080" w:leader="none"/>
        </w:tabs>
        <w:ind w:left="1080" w:hanging="1080"/>
      </w:pPr>
      <w:rPr>
        <w:rFonts w:hint="default"/>
      </w:rPr>
    </w:lvl>
    <w:lvl w:ilvl="6">
      <w:start w:val="1"/>
      <w:numFmt w:val="decimal"/>
      <w:isLgl w:val="false"/>
      <w:suff w:val="tab"/>
      <w:lvlText w:val="%1.%2.%3.%4.%5.%6.%7."/>
      <w:lvlJc w:val="left"/>
      <w:pPr>
        <w:tabs>
          <w:tab w:val="num" w:pos="1080" w:leader="none"/>
        </w:tabs>
        <w:ind w:left="1080" w:hanging="1080"/>
      </w:pPr>
      <w:rPr>
        <w:rFonts w:hint="default"/>
      </w:rPr>
    </w:lvl>
    <w:lvl w:ilvl="7">
      <w:start w:val="1"/>
      <w:numFmt w:val="decimal"/>
      <w:isLgl w:val="false"/>
      <w:suff w:val="tab"/>
      <w:lvlText w:val="%1.%2.%3.%4.%5.%6.%7.%8."/>
      <w:lvlJc w:val="left"/>
      <w:pPr>
        <w:tabs>
          <w:tab w:val="num" w:pos="1440" w:leader="none"/>
        </w:tabs>
        <w:ind w:left="1440" w:hanging="1440"/>
      </w:pPr>
      <w:rPr>
        <w:rFonts w:hint="default"/>
      </w:rPr>
    </w:lvl>
    <w:lvl w:ilvl="8">
      <w:start w:val="1"/>
      <w:numFmt w:val="decimal"/>
      <w:isLgl w:val="false"/>
      <w:suff w:val="tab"/>
      <w:lvlText w:val="%1.%2.%3.%4.%5.%6.%7.%8.%9."/>
      <w:lvlJc w:val="left"/>
      <w:pPr>
        <w:tabs>
          <w:tab w:val="num" w:pos="1440" w:leader="none"/>
        </w:tabs>
        <w:ind w:left="1440" w:hanging="1440"/>
      </w:pPr>
      <w:rPr>
        <w:rFonts w:hint="default"/>
      </w:rPr>
    </w:lvl>
  </w:abstractNum>
  <w:abstractNum w:abstractNumId="12">
    <w:multiLevelType w:val="hybridMultilevel"/>
    <w:lvl w:ilvl="0">
      <w:start w:val="1"/>
      <w:numFmt w:val="bullet"/>
      <w:isLgl w:val="false"/>
      <w:suff w:val="tab"/>
      <w:lvlText w:val=""/>
      <w:lvlJc w:val="left"/>
      <w:pPr>
        <w:tabs>
          <w:tab w:val="num" w:pos="720" w:leader="none"/>
        </w:tabs>
        <w:ind w:left="720" w:hanging="360"/>
      </w:pPr>
      <w:rPr>
        <w:rFonts w:hint="default" w:ascii="Symbol" w:hAnsi="Symbol"/>
      </w:rPr>
    </w:lvl>
    <w:lvl w:ilvl="1">
      <w:start w:val="1"/>
      <w:numFmt w:val="bullet"/>
      <w:isLgl w:val="false"/>
      <w:suff w:val="tab"/>
      <w:lvlText w:val="o"/>
      <w:lvlJc w:val="left"/>
      <w:pPr>
        <w:tabs>
          <w:tab w:val="num" w:pos="1440" w:leader="none"/>
        </w:tabs>
        <w:ind w:left="1440" w:hanging="360"/>
      </w:pPr>
      <w:rPr>
        <w:rFonts w:hint="default" w:ascii="Courier New" w:hAnsi="Courier New" w:cs="Courier New"/>
      </w:rPr>
    </w:lvl>
    <w:lvl w:ilvl="2">
      <w:start w:val="1"/>
      <w:numFmt w:val="bullet"/>
      <w:isLgl w:val="false"/>
      <w:suff w:val="tab"/>
      <w:lvlText w:val=""/>
      <w:lvlJc w:val="left"/>
      <w:pPr>
        <w:tabs>
          <w:tab w:val="num" w:pos="2160" w:leader="none"/>
        </w:tabs>
        <w:ind w:left="2160" w:hanging="360"/>
      </w:pPr>
      <w:rPr>
        <w:rFonts w:hint="default" w:ascii="Wingdings" w:hAnsi="Wingdings"/>
      </w:rPr>
    </w:lvl>
    <w:lvl w:ilvl="3">
      <w:start w:val="1"/>
      <w:numFmt w:val="bullet"/>
      <w:isLgl w:val="false"/>
      <w:suff w:val="tab"/>
      <w:lvlText w:val=""/>
      <w:lvlJc w:val="left"/>
      <w:pPr>
        <w:tabs>
          <w:tab w:val="num" w:pos="2880" w:leader="none"/>
        </w:tabs>
        <w:ind w:left="2880" w:hanging="360"/>
      </w:pPr>
      <w:rPr>
        <w:rFonts w:hint="default" w:ascii="Symbol" w:hAnsi="Symbol"/>
      </w:rPr>
    </w:lvl>
    <w:lvl w:ilvl="4">
      <w:start w:val="1"/>
      <w:numFmt w:val="bullet"/>
      <w:isLgl w:val="false"/>
      <w:suff w:val="tab"/>
      <w:lvlText w:val="o"/>
      <w:lvlJc w:val="left"/>
      <w:pPr>
        <w:tabs>
          <w:tab w:val="num" w:pos="3600" w:leader="none"/>
        </w:tabs>
        <w:ind w:left="3600" w:hanging="360"/>
      </w:pPr>
      <w:rPr>
        <w:rFonts w:hint="default" w:ascii="Courier New" w:hAnsi="Courier New" w:cs="Courier New"/>
      </w:rPr>
    </w:lvl>
    <w:lvl w:ilvl="5">
      <w:start w:val="1"/>
      <w:numFmt w:val="bullet"/>
      <w:isLgl w:val="false"/>
      <w:suff w:val="tab"/>
      <w:lvlText w:val=""/>
      <w:lvlJc w:val="left"/>
      <w:pPr>
        <w:tabs>
          <w:tab w:val="num" w:pos="4320" w:leader="none"/>
        </w:tabs>
        <w:ind w:left="4320" w:hanging="360"/>
      </w:pPr>
      <w:rPr>
        <w:rFonts w:hint="default" w:ascii="Wingdings" w:hAnsi="Wingdings"/>
      </w:rPr>
    </w:lvl>
    <w:lvl w:ilvl="6">
      <w:start w:val="1"/>
      <w:numFmt w:val="bullet"/>
      <w:isLgl w:val="false"/>
      <w:suff w:val="tab"/>
      <w:lvlText w:val=""/>
      <w:lvlJc w:val="left"/>
      <w:pPr>
        <w:tabs>
          <w:tab w:val="num" w:pos="5040" w:leader="none"/>
        </w:tabs>
        <w:ind w:left="5040" w:hanging="360"/>
      </w:pPr>
      <w:rPr>
        <w:rFonts w:hint="default" w:ascii="Symbol" w:hAnsi="Symbol"/>
      </w:rPr>
    </w:lvl>
    <w:lvl w:ilvl="7">
      <w:start w:val="1"/>
      <w:numFmt w:val="bullet"/>
      <w:isLgl w:val="false"/>
      <w:suff w:val="tab"/>
      <w:lvlText w:val="o"/>
      <w:lvlJc w:val="left"/>
      <w:pPr>
        <w:tabs>
          <w:tab w:val="num" w:pos="5760" w:leader="none"/>
        </w:tabs>
        <w:ind w:left="5760" w:hanging="360"/>
      </w:pPr>
      <w:rPr>
        <w:rFonts w:hint="default" w:ascii="Courier New" w:hAnsi="Courier New" w:cs="Courier New"/>
      </w:rPr>
    </w:lvl>
    <w:lvl w:ilvl="8">
      <w:start w:val="1"/>
      <w:numFmt w:val="bullet"/>
      <w:isLgl w:val="false"/>
      <w:suff w:val="tab"/>
      <w:lvlText w:val=""/>
      <w:lvlJc w:val="left"/>
      <w:pPr>
        <w:tabs>
          <w:tab w:val="num" w:pos="6480" w:leader="none"/>
        </w:tabs>
        <w:ind w:left="6480" w:hanging="360"/>
      </w:pPr>
      <w:rPr>
        <w:rFonts w:hint="default" w:ascii="Wingdings" w:hAnsi="Wingdings"/>
      </w:rPr>
    </w:lvl>
  </w:abstractNum>
  <w:abstractNum w:abstractNumId="13">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4">
    <w:multiLevelType w:val="hybridMultilevel"/>
    <w:lvl w:ilvl="0">
      <w:start w:val="5"/>
      <w:numFmt w:val="decimal"/>
      <w:isLgl w:val="false"/>
      <w:suff w:val="tab"/>
      <w:lvlText w:val="%1."/>
      <w:lvlJc w:val="left"/>
      <w:pPr>
        <w:tabs>
          <w:tab w:val="num" w:pos="405" w:leader="none"/>
        </w:tabs>
        <w:ind w:left="405" w:hanging="405"/>
      </w:pPr>
      <w:rPr>
        <w:rFonts w:hint="default"/>
      </w:rPr>
    </w:lvl>
    <w:lvl w:ilvl="1">
      <w:start w:val="1"/>
      <w:numFmt w:val="decimal"/>
      <w:isLgl w:val="false"/>
      <w:suff w:val="tab"/>
      <w:lvlText w:val="%1.%2."/>
      <w:lvlJc w:val="left"/>
      <w:pPr>
        <w:tabs>
          <w:tab w:val="num" w:pos="405" w:leader="none"/>
        </w:tabs>
        <w:ind w:left="405" w:hanging="405"/>
      </w:pPr>
      <w:rPr>
        <w:rFonts w:hint="default"/>
        <w:strike w:val="0"/>
      </w:rPr>
    </w:lvl>
    <w:lvl w:ilvl="2">
      <w:start w:val="1"/>
      <w:numFmt w:val="decimal"/>
      <w:isLgl w:val="false"/>
      <w:suff w:val="tab"/>
      <w:lvlText w:val="%1.%2.%3."/>
      <w:lvlJc w:val="left"/>
      <w:pPr>
        <w:tabs>
          <w:tab w:val="num" w:pos="720" w:leader="none"/>
        </w:tabs>
        <w:ind w:left="720" w:hanging="720"/>
      </w:pPr>
      <w:rPr>
        <w:rFonts w:hint="default"/>
      </w:rPr>
    </w:lvl>
    <w:lvl w:ilvl="3">
      <w:start w:val="1"/>
      <w:numFmt w:val="decimal"/>
      <w:isLgl w:val="false"/>
      <w:suff w:val="tab"/>
      <w:lvlText w:val="%1.%2.%3.%4."/>
      <w:lvlJc w:val="left"/>
      <w:pPr>
        <w:tabs>
          <w:tab w:val="num" w:pos="720" w:leader="none"/>
        </w:tabs>
        <w:ind w:left="720" w:hanging="720"/>
      </w:pPr>
      <w:rPr>
        <w:rFonts w:hint="default"/>
      </w:rPr>
    </w:lvl>
    <w:lvl w:ilvl="4">
      <w:start w:val="1"/>
      <w:numFmt w:val="decimal"/>
      <w:isLgl w:val="false"/>
      <w:suff w:val="tab"/>
      <w:lvlText w:val="%1.%2.%3.%4.%5."/>
      <w:lvlJc w:val="left"/>
      <w:pPr>
        <w:tabs>
          <w:tab w:val="num" w:pos="720" w:leader="none"/>
        </w:tabs>
        <w:ind w:left="720" w:hanging="720"/>
      </w:pPr>
      <w:rPr>
        <w:rFonts w:hint="default"/>
      </w:rPr>
    </w:lvl>
    <w:lvl w:ilvl="5">
      <w:start w:val="1"/>
      <w:numFmt w:val="decimal"/>
      <w:isLgl w:val="false"/>
      <w:suff w:val="tab"/>
      <w:lvlText w:val="%1.%2.%3.%4.%5.%6."/>
      <w:lvlJc w:val="left"/>
      <w:pPr>
        <w:tabs>
          <w:tab w:val="num" w:pos="1080" w:leader="none"/>
        </w:tabs>
        <w:ind w:left="1080" w:hanging="1080"/>
      </w:pPr>
      <w:rPr>
        <w:rFonts w:hint="default"/>
      </w:rPr>
    </w:lvl>
    <w:lvl w:ilvl="6">
      <w:start w:val="1"/>
      <w:numFmt w:val="decimal"/>
      <w:isLgl w:val="false"/>
      <w:suff w:val="tab"/>
      <w:lvlText w:val="%1.%2.%3.%4.%5.%6.%7."/>
      <w:lvlJc w:val="left"/>
      <w:pPr>
        <w:tabs>
          <w:tab w:val="num" w:pos="1080" w:leader="none"/>
        </w:tabs>
        <w:ind w:left="1080" w:hanging="1080"/>
      </w:pPr>
      <w:rPr>
        <w:rFonts w:hint="default"/>
      </w:rPr>
    </w:lvl>
    <w:lvl w:ilvl="7">
      <w:start w:val="1"/>
      <w:numFmt w:val="decimal"/>
      <w:isLgl w:val="false"/>
      <w:suff w:val="tab"/>
      <w:lvlText w:val="%1.%2.%3.%4.%5.%6.%7.%8."/>
      <w:lvlJc w:val="left"/>
      <w:pPr>
        <w:tabs>
          <w:tab w:val="num" w:pos="1080" w:leader="none"/>
        </w:tabs>
        <w:ind w:left="1080" w:hanging="1080"/>
      </w:pPr>
      <w:rPr>
        <w:rFonts w:hint="default"/>
      </w:rPr>
    </w:lvl>
    <w:lvl w:ilvl="8">
      <w:start w:val="1"/>
      <w:numFmt w:val="decimal"/>
      <w:isLgl w:val="false"/>
      <w:suff w:val="tab"/>
      <w:lvlText w:val="%1.%2.%3.%4.%5.%6.%7.%8.%9."/>
      <w:lvlJc w:val="left"/>
      <w:pPr>
        <w:tabs>
          <w:tab w:val="num" w:pos="1440" w:leader="none"/>
        </w:tabs>
        <w:ind w:left="1440" w:hanging="1440"/>
      </w:pPr>
      <w:rPr>
        <w:rFonts w:hint="default"/>
      </w:rPr>
    </w:lvl>
  </w:abstractNum>
  <w:abstractNum w:abstractNumId="15">
    <w:multiLevelType w:val="hybridMultilevel"/>
    <w:lvl w:ilvl="0">
      <w:start w:val="7"/>
      <w:numFmt w:val="decimal"/>
      <w:isLgl w:val="false"/>
      <w:suff w:val="tab"/>
      <w:lvlText w:val="%1."/>
      <w:lvlJc w:val="left"/>
      <w:pPr>
        <w:ind w:left="405" w:hanging="405"/>
      </w:pPr>
      <w:rPr>
        <w:rFonts w:hint="default"/>
      </w:rPr>
    </w:lvl>
    <w:lvl w:ilvl="1">
      <w:start w:val="5"/>
      <w:numFmt w:val="decimal"/>
      <w:isLgl w:val="false"/>
      <w:suff w:val="tab"/>
      <w:lvlText w:val="%1.%2."/>
      <w:lvlJc w:val="left"/>
      <w:pPr>
        <w:ind w:left="405" w:hanging="405"/>
      </w:pPr>
      <w:rPr>
        <w:rFonts w:hint="default"/>
        <w:strike w:val="0"/>
      </w:rPr>
    </w:lvl>
    <w:lvl w:ilvl="2">
      <w:start w:val="1"/>
      <w:numFmt w:val="decimal"/>
      <w:isLgl w:val="false"/>
      <w:suff w:val="tab"/>
      <w:lvlText w:val="%1.%2.%3."/>
      <w:lvlJc w:val="left"/>
      <w:pPr>
        <w:ind w:left="720" w:hanging="720"/>
      </w:pPr>
      <w:rPr>
        <w:rFonts w:hint="default"/>
      </w:rPr>
    </w:lvl>
    <w:lvl w:ilvl="3">
      <w:start w:val="1"/>
      <w:numFmt w:val="decimal"/>
      <w:isLgl w:val="false"/>
      <w:suff w:val="tab"/>
      <w:lvlText w:val="%1.%2.%3.%4."/>
      <w:lvlJc w:val="left"/>
      <w:pPr>
        <w:ind w:left="720" w:hanging="720"/>
      </w:pPr>
      <w:rPr>
        <w:rFonts w:hint="default"/>
      </w:rPr>
    </w:lvl>
    <w:lvl w:ilvl="4">
      <w:start w:val="1"/>
      <w:numFmt w:val="decimal"/>
      <w:isLgl w:val="false"/>
      <w:suff w:val="tab"/>
      <w:lvlText w:val="%1.%2.%3.%4.%5."/>
      <w:lvlJc w:val="left"/>
      <w:pPr>
        <w:ind w:left="720" w:hanging="720"/>
      </w:pPr>
      <w:rPr>
        <w:rFonts w:hint="default"/>
      </w:rPr>
    </w:lvl>
    <w:lvl w:ilvl="5">
      <w:start w:val="1"/>
      <w:numFmt w:val="decimal"/>
      <w:isLgl w:val="false"/>
      <w:suff w:val="tab"/>
      <w:lvlText w:val="%1.%2.%3.%4.%5.%6."/>
      <w:lvlJc w:val="left"/>
      <w:pPr>
        <w:ind w:left="1080" w:hanging="1080"/>
      </w:pPr>
      <w:rPr>
        <w:rFonts w:hint="default"/>
      </w:rPr>
    </w:lvl>
    <w:lvl w:ilvl="6">
      <w:start w:val="1"/>
      <w:numFmt w:val="decimal"/>
      <w:isLgl w:val="false"/>
      <w:suff w:val="tab"/>
      <w:lvlText w:val="%1.%2.%3.%4.%5.%6.%7."/>
      <w:lvlJc w:val="left"/>
      <w:pPr>
        <w:ind w:left="1080" w:hanging="1080"/>
      </w:pPr>
      <w:rPr>
        <w:rFonts w:hint="default"/>
      </w:rPr>
    </w:lvl>
    <w:lvl w:ilvl="7">
      <w:start w:val="1"/>
      <w:numFmt w:val="decimal"/>
      <w:isLgl w:val="false"/>
      <w:suff w:val="tab"/>
      <w:lvlText w:val="%1.%2.%3.%4.%5.%6.%7.%8."/>
      <w:lvlJc w:val="left"/>
      <w:pPr>
        <w:ind w:left="1080" w:hanging="1080"/>
      </w:pPr>
      <w:rPr>
        <w:rFonts w:hint="default"/>
      </w:rPr>
    </w:lvl>
    <w:lvl w:ilvl="8">
      <w:start w:val="1"/>
      <w:numFmt w:val="decimal"/>
      <w:isLgl w:val="false"/>
      <w:suff w:val="tab"/>
      <w:lvlText w:val="%1.%2.%3.%4.%5.%6.%7.%8.%9."/>
      <w:lvlJc w:val="left"/>
      <w:pPr>
        <w:ind w:left="1440" w:hanging="1440"/>
      </w:pPr>
      <w:rPr>
        <w:rFonts w:hint="default"/>
      </w:rPr>
    </w:lvl>
  </w:abstractNum>
  <w:abstractNum w:abstractNumId="16">
    <w:multiLevelType w:val="hybridMultilevel"/>
    <w:lvl w:ilvl="0">
      <w:start w:val="1"/>
      <w:numFmt w:val="decimal"/>
      <w:isLgl w:val="false"/>
      <w:suff w:val="tab"/>
      <w:lvlText w:val="%1."/>
      <w:lvlJc w:val="left"/>
      <w:pPr>
        <w:ind w:left="360" w:hanging="360"/>
      </w:pPr>
      <w:rPr>
        <w:rFonts w:hint="default"/>
      </w:rPr>
    </w:lvl>
    <w:lvl w:ilvl="1">
      <w:start w:val="1"/>
      <w:numFmt w:val="decimal"/>
      <w:isLgl w:val="false"/>
      <w:suff w:val="space"/>
      <w:lvlText w:val="%1.%2."/>
      <w:lvlJc w:val="left"/>
      <w:pPr>
        <w:ind w:left="0" w:firstLine="0"/>
      </w:pPr>
      <w:rPr>
        <w:rFonts w:hint="default"/>
      </w:rPr>
    </w:lvl>
    <w:lvl w:ilvl="2">
      <w:start w:val="1"/>
      <w:numFmt w:val="decimal"/>
      <w:isLgl w:val="false"/>
      <w:suff w:val="space"/>
      <w:lvlText w:val="%1.%2.%3."/>
      <w:lvlJc w:val="left"/>
      <w:pPr>
        <w:ind w:left="0" w:firstLine="0"/>
      </w:pPr>
      <w:rPr>
        <w:rFonts w:hint="default"/>
      </w:rPr>
    </w:lvl>
    <w:lvl w:ilvl="3">
      <w:start w:val="1"/>
      <w:numFmt w:val="decimal"/>
      <w:isLgl w:val="false"/>
      <w:suff w:val="tab"/>
      <w:lvlText w:val="%1.%2.%3.%4."/>
      <w:lvlJc w:val="left"/>
      <w:pPr>
        <w:ind w:left="1728" w:hanging="648"/>
      </w:pPr>
      <w:rPr>
        <w:rFonts w:hint="default"/>
      </w:rPr>
    </w:lvl>
    <w:lvl w:ilvl="4">
      <w:start w:val="1"/>
      <w:numFmt w:val="decimal"/>
      <w:isLgl w:val="false"/>
      <w:suff w:val="tab"/>
      <w:lvlText w:val="%1.%2.%3.%4.%5."/>
      <w:lvlJc w:val="left"/>
      <w:pPr>
        <w:ind w:left="2232" w:hanging="792"/>
      </w:pPr>
      <w:rPr>
        <w:rFonts w:hint="default"/>
      </w:rPr>
    </w:lvl>
    <w:lvl w:ilvl="5">
      <w:start w:val="1"/>
      <w:numFmt w:val="decimal"/>
      <w:isLgl w:val="false"/>
      <w:suff w:val="tab"/>
      <w:lvlText w:val="%1.%2.%3.%4.%5.%6."/>
      <w:lvlJc w:val="left"/>
      <w:pPr>
        <w:ind w:left="2736" w:hanging="936"/>
      </w:pPr>
      <w:rPr>
        <w:rFonts w:hint="default"/>
      </w:rPr>
    </w:lvl>
    <w:lvl w:ilvl="6">
      <w:start w:val="1"/>
      <w:numFmt w:val="decimal"/>
      <w:isLgl w:val="false"/>
      <w:suff w:val="tab"/>
      <w:lvlText w:val="%1.%2.%3.%4.%5.%6.%7."/>
      <w:lvlJc w:val="left"/>
      <w:pPr>
        <w:ind w:left="3240" w:hanging="1080"/>
      </w:pPr>
      <w:rPr>
        <w:rFonts w:hint="default"/>
      </w:rPr>
    </w:lvl>
    <w:lvl w:ilvl="7">
      <w:start w:val="1"/>
      <w:numFmt w:val="decimal"/>
      <w:isLgl w:val="false"/>
      <w:suff w:val="tab"/>
      <w:lvlText w:val="%1.%2.%3.%4.%5.%6.%7.%8."/>
      <w:lvlJc w:val="left"/>
      <w:pPr>
        <w:ind w:left="3744" w:hanging="1224"/>
      </w:pPr>
      <w:rPr>
        <w:rFonts w:hint="default"/>
      </w:rPr>
    </w:lvl>
    <w:lvl w:ilvl="8">
      <w:start w:val="1"/>
      <w:numFmt w:val="decimal"/>
      <w:isLgl w:val="false"/>
      <w:suff w:val="tab"/>
      <w:lvlText w:val="%1.%2.%3.%4.%5.%6.%7.%8.%9."/>
      <w:lvlJc w:val="left"/>
      <w:pPr>
        <w:ind w:left="4320" w:hanging="1440"/>
      </w:pPr>
      <w:rPr>
        <w:rFonts w:hint="default"/>
      </w:rPr>
    </w:lvl>
  </w:abstractNum>
  <w:abstractNum w:abstractNumId="17">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18">
    <w:multiLevelType w:val="hybridMultilevel"/>
    <w:lvl w:ilvl="0">
      <w:start w:val="1"/>
      <w:numFmt w:val="decimal"/>
      <w:isLgl w:val="false"/>
      <w:suff w:val="space"/>
      <w:lvlText w:val="%1."/>
      <w:lvlJc w:val="center"/>
      <w:pPr>
        <w:ind w:left="0" w:firstLine="0"/>
      </w:pPr>
      <w:rPr>
        <w:rFonts w:hint="default"/>
      </w:rPr>
    </w:lvl>
    <w:lvl w:ilvl="1">
      <w:start w:val="1"/>
      <w:numFmt w:val="decimal"/>
      <w:isLgl w:val="false"/>
      <w:suff w:val="space"/>
      <w:lvlText w:val="%1.%2."/>
      <w:lvlJc w:val="left"/>
      <w:pPr>
        <w:ind w:left="0" w:firstLine="0"/>
      </w:pPr>
      <w:rPr>
        <w:rFonts w:hint="default"/>
        <w:b w:val="0"/>
      </w:rPr>
    </w:lvl>
    <w:lvl w:ilvl="2">
      <w:start w:val="1"/>
      <w:numFmt w:val="decimal"/>
      <w:isLgl w:val="false"/>
      <w:suff w:val="tab"/>
      <w:lvlText w:val="%1.%2.%3."/>
      <w:lvlJc w:val="left"/>
      <w:pPr>
        <w:tabs>
          <w:tab w:val="num" w:pos="0" w:leader="none"/>
        </w:tabs>
        <w:ind w:left="0" w:firstLine="0"/>
      </w:pPr>
      <w:rPr>
        <w:rFonts w:hint="default"/>
      </w:rPr>
    </w:lvl>
    <w:lvl w:ilvl="3">
      <w:start w:val="1"/>
      <w:numFmt w:val="decimal"/>
      <w:isLgl w:val="false"/>
      <w:suff w:val="tab"/>
      <w:lvlText w:val="%1.%2.%3.%4."/>
      <w:lvlJc w:val="left"/>
      <w:pPr>
        <w:tabs>
          <w:tab w:val="num" w:pos="0" w:leader="none"/>
        </w:tabs>
        <w:ind w:left="0" w:firstLine="0"/>
      </w:pPr>
      <w:rPr>
        <w:rFonts w:hint="default"/>
      </w:rPr>
    </w:lvl>
    <w:lvl w:ilvl="4">
      <w:start w:val="1"/>
      <w:numFmt w:val="decimal"/>
      <w:isLgl w:val="false"/>
      <w:suff w:val="tab"/>
      <w:lvlText w:val="%1.%2.%3.%4.%5."/>
      <w:lvlJc w:val="left"/>
      <w:pPr>
        <w:tabs>
          <w:tab w:val="num" w:pos="0" w:leader="none"/>
        </w:tabs>
        <w:ind w:left="0" w:firstLine="0"/>
      </w:pPr>
      <w:rPr>
        <w:rFonts w:hint="default"/>
      </w:rPr>
    </w:lvl>
    <w:lvl w:ilvl="5">
      <w:start w:val="1"/>
      <w:numFmt w:val="decimal"/>
      <w:isLgl w:val="false"/>
      <w:suff w:val="tab"/>
      <w:lvlText w:val="%1.%2.%3.%4.%5.%6."/>
      <w:lvlJc w:val="left"/>
      <w:pPr>
        <w:tabs>
          <w:tab w:val="num" w:pos="2880" w:leader="none"/>
        </w:tabs>
        <w:ind w:left="2736" w:hanging="936"/>
      </w:pPr>
      <w:rPr>
        <w:rFonts w:hint="default"/>
      </w:rPr>
    </w:lvl>
    <w:lvl w:ilvl="6">
      <w:start w:val="1"/>
      <w:numFmt w:val="decimal"/>
      <w:isLgl w:val="false"/>
      <w:suff w:val="tab"/>
      <w:lvlText w:val="%1.%2.%3.%4.%5.%6.%7."/>
      <w:lvlJc w:val="left"/>
      <w:pPr>
        <w:tabs>
          <w:tab w:val="num" w:pos="3600" w:leader="none"/>
        </w:tabs>
        <w:ind w:left="3240" w:hanging="1080"/>
      </w:pPr>
      <w:rPr>
        <w:rFonts w:hint="default"/>
      </w:rPr>
    </w:lvl>
    <w:lvl w:ilvl="7">
      <w:start w:val="1"/>
      <w:numFmt w:val="decimal"/>
      <w:isLgl w:val="false"/>
      <w:suff w:val="tab"/>
      <w:lvlText w:val="%1.%2.%3.%4.%5.%6.%7.%8."/>
      <w:lvlJc w:val="left"/>
      <w:pPr>
        <w:tabs>
          <w:tab w:val="num" w:pos="3960" w:leader="none"/>
        </w:tabs>
        <w:ind w:left="3744" w:hanging="1224"/>
      </w:pPr>
      <w:rPr>
        <w:rFonts w:hint="default"/>
      </w:rPr>
    </w:lvl>
    <w:lvl w:ilvl="8">
      <w:start w:val="1"/>
      <w:numFmt w:val="decimal"/>
      <w:isLgl w:val="false"/>
      <w:suff w:val="tab"/>
      <w:lvlText w:val="%1.%2.%3.%4.%5.%6.%7.%8.%9."/>
      <w:lvlJc w:val="left"/>
      <w:pPr>
        <w:tabs>
          <w:tab w:val="num" w:pos="4680" w:leader="none"/>
        </w:tabs>
        <w:ind w:left="4320" w:hanging="1440"/>
      </w:pPr>
      <w:rPr>
        <w:rFonts w:hint="default"/>
      </w:rPr>
    </w:lvl>
  </w:abstractNum>
  <w:abstractNum w:abstractNumId="19">
    <w:multiLevelType w:val="hybridMultilevel"/>
    <w:lvl w:ilvl="0">
      <w:start w:val="1"/>
      <w:numFmt w:val="decimal"/>
      <w:isLgl w:val="false"/>
      <w:suff w:val="space"/>
      <w:lvlText w:val="%1."/>
      <w:lvlJc w:val="center"/>
      <w:pPr>
        <w:ind w:left="0" w:firstLine="0"/>
      </w:pPr>
      <w:rPr>
        <w:rFonts w:hint="default"/>
      </w:rPr>
    </w:lvl>
    <w:lvl w:ilvl="1">
      <w:start w:val="1"/>
      <w:numFmt w:val="decimal"/>
      <w:isLgl w:val="false"/>
      <w:suff w:val="space"/>
      <w:lvlText w:val="%1.%2."/>
      <w:lvlJc w:val="left"/>
      <w:pPr>
        <w:ind w:left="0" w:firstLine="0"/>
      </w:pPr>
      <w:rPr>
        <w:rFonts w:hint="default"/>
        <w:strike w:val="0"/>
      </w:rPr>
    </w:lvl>
    <w:lvl w:ilvl="2">
      <w:start w:val="1"/>
      <w:numFmt w:val="decimal"/>
      <w:isLgl w:val="false"/>
      <w:suff w:val="tab"/>
      <w:lvlText w:val="%1.%2.%3."/>
      <w:lvlJc w:val="left"/>
      <w:pPr>
        <w:tabs>
          <w:tab w:val="num" w:pos="0" w:leader="none"/>
        </w:tabs>
        <w:ind w:left="0" w:firstLine="0"/>
      </w:pPr>
      <w:rPr>
        <w:rFonts w:hint="default" w:ascii="Arial" w:hAnsi="Arial" w:cs="Arial"/>
        <w:sz w:val="18"/>
        <w:szCs w:val="16"/>
      </w:rPr>
    </w:lvl>
    <w:lvl w:ilvl="3">
      <w:start w:val="1"/>
      <w:numFmt w:val="decimal"/>
      <w:isLgl w:val="false"/>
      <w:suff w:val="tab"/>
      <w:lvlText w:val="%1.%2.%3.%4."/>
      <w:lvlJc w:val="left"/>
      <w:pPr>
        <w:tabs>
          <w:tab w:val="num" w:pos="0" w:leader="none"/>
        </w:tabs>
        <w:ind w:left="0" w:firstLine="0"/>
      </w:pPr>
      <w:rPr>
        <w:rFonts w:hint="default"/>
      </w:rPr>
    </w:lvl>
    <w:lvl w:ilvl="4">
      <w:start w:val="1"/>
      <w:numFmt w:val="decimal"/>
      <w:isLgl w:val="false"/>
      <w:suff w:val="tab"/>
      <w:lvlText w:val="%1.%2.%3.%4.%5."/>
      <w:lvlJc w:val="left"/>
      <w:pPr>
        <w:tabs>
          <w:tab w:val="num" w:pos="0" w:leader="none"/>
        </w:tabs>
        <w:ind w:left="0" w:firstLine="0"/>
      </w:pPr>
      <w:rPr>
        <w:rFonts w:hint="default"/>
      </w:rPr>
    </w:lvl>
    <w:lvl w:ilvl="5">
      <w:start w:val="1"/>
      <w:numFmt w:val="decimal"/>
      <w:isLgl w:val="false"/>
      <w:suff w:val="tab"/>
      <w:lvlText w:val="%1.%2.%3.%4.%5.%6."/>
      <w:lvlJc w:val="left"/>
      <w:pPr>
        <w:tabs>
          <w:tab w:val="num" w:pos="2880" w:leader="none"/>
        </w:tabs>
        <w:ind w:left="2736" w:hanging="936"/>
      </w:pPr>
      <w:rPr>
        <w:rFonts w:hint="default"/>
      </w:rPr>
    </w:lvl>
    <w:lvl w:ilvl="6">
      <w:start w:val="1"/>
      <w:numFmt w:val="decimal"/>
      <w:isLgl w:val="false"/>
      <w:suff w:val="tab"/>
      <w:lvlText w:val="%1.%2.%3.%4.%5.%6.%7."/>
      <w:lvlJc w:val="left"/>
      <w:pPr>
        <w:tabs>
          <w:tab w:val="num" w:pos="3600" w:leader="none"/>
        </w:tabs>
        <w:ind w:left="3240" w:hanging="1080"/>
      </w:pPr>
      <w:rPr>
        <w:rFonts w:hint="default"/>
      </w:rPr>
    </w:lvl>
    <w:lvl w:ilvl="7">
      <w:start w:val="1"/>
      <w:numFmt w:val="decimal"/>
      <w:isLgl w:val="false"/>
      <w:suff w:val="tab"/>
      <w:lvlText w:val="%1.%2.%3.%4.%5.%6.%7.%8."/>
      <w:lvlJc w:val="left"/>
      <w:pPr>
        <w:tabs>
          <w:tab w:val="num" w:pos="3960" w:leader="none"/>
        </w:tabs>
        <w:ind w:left="3744" w:hanging="1224"/>
      </w:pPr>
      <w:rPr>
        <w:rFonts w:hint="default"/>
      </w:rPr>
    </w:lvl>
    <w:lvl w:ilvl="8">
      <w:start w:val="1"/>
      <w:numFmt w:val="decimal"/>
      <w:isLgl w:val="false"/>
      <w:suff w:val="tab"/>
      <w:lvlText w:val="%1.%2.%3.%4.%5.%6.%7.%8.%9."/>
      <w:lvlJc w:val="left"/>
      <w:pPr>
        <w:tabs>
          <w:tab w:val="num" w:pos="4680" w:leader="none"/>
        </w:tabs>
        <w:ind w:left="4320" w:hanging="1440"/>
      </w:pPr>
      <w:rPr>
        <w:rFonts w:hint="default"/>
      </w:rPr>
    </w:lvl>
  </w:abstractNum>
  <w:abstractNum w:abstractNumId="20">
    <w:multiLevelType w:val="hybridMultilevel"/>
    <w:lvl w:ilvl="0">
      <w:start w:val="1"/>
      <w:numFmt w:val="decimal"/>
      <w:pStyle w:val="939"/>
      <w:isLgl w:val="false"/>
      <w:suff w:val="space"/>
      <w:lvlText w:val="%1."/>
      <w:lvlJc w:val="center"/>
      <w:pPr>
        <w:ind w:left="567" w:firstLine="0"/>
      </w:pPr>
      <w:rPr>
        <w:rFonts w:hint="default"/>
      </w:rPr>
    </w:lvl>
    <w:lvl w:ilvl="1">
      <w:start w:val="1"/>
      <w:numFmt w:val="decimal"/>
      <w:pStyle w:val="940"/>
      <w:isLgl w:val="false"/>
      <w:suff w:val="space"/>
      <w:lvlText w:val="%1.%2."/>
      <w:lvlJc w:val="left"/>
      <w:pPr>
        <w:ind w:left="0" w:firstLine="0"/>
      </w:pPr>
      <w:rPr>
        <w:rFonts w:hint="default"/>
      </w:rPr>
    </w:lvl>
    <w:lvl w:ilvl="2">
      <w:start w:val="1"/>
      <w:numFmt w:val="decimal"/>
      <w:pStyle w:val="941"/>
      <w:isLgl w:val="false"/>
      <w:suff w:val="tab"/>
      <w:lvlText w:val="%1.%2.%3."/>
      <w:lvlJc w:val="left"/>
      <w:pPr>
        <w:tabs>
          <w:tab w:val="num" w:pos="0" w:leader="none"/>
        </w:tabs>
        <w:ind w:left="0" w:firstLine="0"/>
      </w:pPr>
      <w:rPr>
        <w:rFonts w:hint="default"/>
      </w:rPr>
    </w:lvl>
    <w:lvl w:ilvl="3">
      <w:start w:val="1"/>
      <w:numFmt w:val="decimal"/>
      <w:isLgl w:val="false"/>
      <w:suff w:val="tab"/>
      <w:lvlText w:val="%1.%2.%3.%4."/>
      <w:lvlJc w:val="left"/>
      <w:pPr>
        <w:tabs>
          <w:tab w:val="num" w:pos="0" w:leader="none"/>
        </w:tabs>
        <w:ind w:left="0" w:firstLine="0"/>
      </w:pPr>
      <w:rPr>
        <w:rFonts w:hint="default"/>
      </w:rPr>
    </w:lvl>
    <w:lvl w:ilvl="4">
      <w:start w:val="1"/>
      <w:numFmt w:val="decimal"/>
      <w:isLgl w:val="false"/>
      <w:suff w:val="tab"/>
      <w:lvlText w:val="%1.%2.%3.%4.%5."/>
      <w:lvlJc w:val="left"/>
      <w:pPr>
        <w:tabs>
          <w:tab w:val="num" w:pos="0" w:leader="none"/>
        </w:tabs>
        <w:ind w:left="0" w:firstLine="0"/>
      </w:pPr>
      <w:rPr>
        <w:rFonts w:hint="default"/>
      </w:rPr>
    </w:lvl>
    <w:lvl w:ilvl="5">
      <w:start w:val="1"/>
      <w:numFmt w:val="decimal"/>
      <w:isLgl w:val="false"/>
      <w:suff w:val="tab"/>
      <w:lvlText w:val="%1.%2.%3.%4.%5.%6."/>
      <w:lvlJc w:val="left"/>
      <w:pPr>
        <w:tabs>
          <w:tab w:val="num" w:pos="2880" w:leader="none"/>
        </w:tabs>
        <w:ind w:left="2736" w:hanging="936"/>
      </w:pPr>
      <w:rPr>
        <w:rFonts w:hint="default"/>
      </w:rPr>
    </w:lvl>
    <w:lvl w:ilvl="6">
      <w:start w:val="1"/>
      <w:numFmt w:val="decimal"/>
      <w:isLgl w:val="false"/>
      <w:suff w:val="tab"/>
      <w:lvlText w:val="%1.%2.%3.%4.%5.%6.%7."/>
      <w:lvlJc w:val="left"/>
      <w:pPr>
        <w:tabs>
          <w:tab w:val="num" w:pos="3600" w:leader="none"/>
        </w:tabs>
        <w:ind w:left="3240" w:hanging="1080"/>
      </w:pPr>
      <w:rPr>
        <w:rFonts w:hint="default"/>
      </w:rPr>
    </w:lvl>
    <w:lvl w:ilvl="7">
      <w:start w:val="1"/>
      <w:numFmt w:val="decimal"/>
      <w:isLgl w:val="false"/>
      <w:suff w:val="tab"/>
      <w:lvlText w:val="%1.%2.%3.%4.%5.%6.%7.%8."/>
      <w:lvlJc w:val="left"/>
      <w:pPr>
        <w:tabs>
          <w:tab w:val="num" w:pos="3960" w:leader="none"/>
        </w:tabs>
        <w:ind w:left="3744" w:hanging="1224"/>
      </w:pPr>
      <w:rPr>
        <w:rFonts w:hint="default"/>
      </w:rPr>
    </w:lvl>
    <w:lvl w:ilvl="8">
      <w:start w:val="1"/>
      <w:numFmt w:val="decimal"/>
      <w:isLgl w:val="false"/>
      <w:suff w:val="tab"/>
      <w:lvlText w:val="%1.%2.%3.%4.%5.%6.%7.%8.%9."/>
      <w:lvlJc w:val="left"/>
      <w:pPr>
        <w:tabs>
          <w:tab w:val="num" w:pos="4680" w:leader="none"/>
        </w:tabs>
        <w:ind w:left="4320" w:hanging="1440"/>
      </w:pPr>
      <w:rPr>
        <w:rFonts w:hint="default"/>
      </w:rPr>
    </w:lvl>
  </w:abstractNum>
  <w:abstractNum w:abstractNumId="21">
    <w:multiLevelType w:val="hybridMultilevel"/>
    <w:lvl w:ilvl="0">
      <w:start w:val="1"/>
      <w:numFmt w:val="decimal"/>
      <w:isLgl w:val="false"/>
      <w:suff w:val="space"/>
      <w:lvlText w:val="%1."/>
      <w:lvlJc w:val="center"/>
      <w:pPr>
        <w:ind w:left="567" w:firstLine="0"/>
      </w:pPr>
      <w:rPr>
        <w:rFonts w:hint="default"/>
      </w:rPr>
    </w:lvl>
    <w:lvl w:ilvl="1">
      <w:start w:val="1"/>
      <w:numFmt w:val="decimal"/>
      <w:isLgl w:val="false"/>
      <w:suff w:val="space"/>
      <w:lvlText w:val="%1.%2."/>
      <w:lvlJc w:val="left"/>
      <w:pPr>
        <w:ind w:left="0" w:firstLine="0"/>
      </w:pPr>
      <w:rPr>
        <w:rFonts w:hint="default"/>
      </w:rPr>
    </w:lvl>
    <w:lvl w:ilvl="2">
      <w:start w:val="1"/>
      <w:numFmt w:val="decimal"/>
      <w:isLgl w:val="false"/>
      <w:suff w:val="tab"/>
      <w:lvlText w:val="%1.%2.%3."/>
      <w:lvlJc w:val="left"/>
      <w:pPr>
        <w:tabs>
          <w:tab w:val="num" w:pos="0" w:leader="none"/>
        </w:tabs>
        <w:ind w:left="0" w:firstLine="0"/>
      </w:pPr>
      <w:rPr>
        <w:rFonts w:hint="default"/>
      </w:rPr>
    </w:lvl>
    <w:lvl w:ilvl="3">
      <w:start w:val="1"/>
      <w:numFmt w:val="decimal"/>
      <w:isLgl w:val="false"/>
      <w:suff w:val="tab"/>
      <w:lvlText w:val="%1.%2.%3.%4."/>
      <w:lvlJc w:val="left"/>
      <w:pPr>
        <w:tabs>
          <w:tab w:val="num" w:pos="0" w:leader="none"/>
        </w:tabs>
        <w:ind w:left="0" w:firstLine="0"/>
      </w:pPr>
      <w:rPr>
        <w:rFonts w:hint="default"/>
      </w:rPr>
    </w:lvl>
    <w:lvl w:ilvl="4">
      <w:start w:val="1"/>
      <w:numFmt w:val="decimal"/>
      <w:isLgl w:val="false"/>
      <w:suff w:val="tab"/>
      <w:lvlText w:val="%1.%2.%3.%4.%5."/>
      <w:lvlJc w:val="left"/>
      <w:pPr>
        <w:tabs>
          <w:tab w:val="num" w:pos="0" w:leader="none"/>
        </w:tabs>
        <w:ind w:left="0" w:firstLine="0"/>
      </w:pPr>
      <w:rPr>
        <w:rFonts w:hint="default"/>
      </w:rPr>
    </w:lvl>
    <w:lvl w:ilvl="5">
      <w:start w:val="1"/>
      <w:numFmt w:val="decimal"/>
      <w:isLgl w:val="false"/>
      <w:suff w:val="tab"/>
      <w:lvlText w:val="%1.%2.%3.%4.%5.%6."/>
      <w:lvlJc w:val="left"/>
      <w:pPr>
        <w:tabs>
          <w:tab w:val="num" w:pos="2880" w:leader="none"/>
        </w:tabs>
        <w:ind w:left="2736" w:hanging="936"/>
      </w:pPr>
      <w:rPr>
        <w:rFonts w:hint="default"/>
      </w:rPr>
    </w:lvl>
    <w:lvl w:ilvl="6">
      <w:start w:val="1"/>
      <w:numFmt w:val="decimal"/>
      <w:isLgl w:val="false"/>
      <w:suff w:val="tab"/>
      <w:lvlText w:val="%1.%2.%3.%4.%5.%6.%7."/>
      <w:lvlJc w:val="left"/>
      <w:pPr>
        <w:tabs>
          <w:tab w:val="num" w:pos="3600" w:leader="none"/>
        </w:tabs>
        <w:ind w:left="3240" w:hanging="1080"/>
      </w:pPr>
      <w:rPr>
        <w:rFonts w:hint="default"/>
      </w:rPr>
    </w:lvl>
    <w:lvl w:ilvl="7">
      <w:start w:val="1"/>
      <w:numFmt w:val="decimal"/>
      <w:isLgl w:val="false"/>
      <w:suff w:val="tab"/>
      <w:lvlText w:val="%1.%2.%3.%4.%5.%6.%7.%8."/>
      <w:lvlJc w:val="left"/>
      <w:pPr>
        <w:tabs>
          <w:tab w:val="num" w:pos="3960" w:leader="none"/>
        </w:tabs>
        <w:ind w:left="3744" w:hanging="1224"/>
      </w:pPr>
      <w:rPr>
        <w:rFonts w:hint="default"/>
      </w:rPr>
    </w:lvl>
    <w:lvl w:ilvl="8">
      <w:start w:val="1"/>
      <w:numFmt w:val="decimal"/>
      <w:isLgl w:val="false"/>
      <w:suff w:val="tab"/>
      <w:lvlText w:val="%1.%2.%3.%4.%5.%6.%7.%8.%9."/>
      <w:lvlJc w:val="left"/>
      <w:pPr>
        <w:tabs>
          <w:tab w:val="num" w:pos="4680" w:leader="none"/>
        </w:tabs>
        <w:ind w:left="4320" w:hanging="1440"/>
      </w:pPr>
      <w:rPr>
        <w:rFonts w:hint="default"/>
      </w:rPr>
    </w:lvl>
  </w:abstractNum>
  <w:abstractNum w:abstractNumId="22">
    <w:multiLevelType w:val="hybridMultilevel"/>
    <w:lvl w:ilvl="0">
      <w:start w:val="1"/>
      <w:numFmt w:val="decimal"/>
      <w:isLgl w:val="false"/>
      <w:suff w:val="space"/>
      <w:lvlText w:val="%1."/>
      <w:lvlJc w:val="center"/>
      <w:pPr>
        <w:ind w:left="567" w:firstLine="0"/>
      </w:pPr>
      <w:rPr>
        <w:rFonts w:hint="default"/>
      </w:rPr>
    </w:lvl>
    <w:lvl w:ilvl="1">
      <w:start w:val="1"/>
      <w:numFmt w:val="decimal"/>
      <w:isLgl w:val="false"/>
      <w:suff w:val="space"/>
      <w:lvlText w:val="%1.%2."/>
      <w:lvlJc w:val="left"/>
      <w:pPr>
        <w:ind w:left="0" w:firstLine="0"/>
      </w:pPr>
      <w:rPr>
        <w:rFonts w:hint="default"/>
      </w:rPr>
    </w:lvl>
    <w:lvl w:ilvl="2">
      <w:start w:val="1"/>
      <w:numFmt w:val="decimal"/>
      <w:isLgl w:val="false"/>
      <w:suff w:val="tab"/>
      <w:lvlText w:val="%1.%2.%3."/>
      <w:lvlJc w:val="left"/>
      <w:pPr>
        <w:tabs>
          <w:tab w:val="num" w:pos="0" w:leader="none"/>
        </w:tabs>
        <w:ind w:left="0" w:firstLine="0"/>
      </w:pPr>
      <w:rPr>
        <w:rFonts w:hint="default"/>
      </w:rPr>
    </w:lvl>
    <w:lvl w:ilvl="3">
      <w:start w:val="1"/>
      <w:numFmt w:val="decimal"/>
      <w:isLgl w:val="false"/>
      <w:suff w:val="tab"/>
      <w:lvlText w:val="%1.%2.%3.%4."/>
      <w:lvlJc w:val="left"/>
      <w:pPr>
        <w:tabs>
          <w:tab w:val="num" w:pos="0" w:leader="none"/>
        </w:tabs>
        <w:ind w:left="0" w:firstLine="0"/>
      </w:pPr>
      <w:rPr>
        <w:rFonts w:hint="default"/>
      </w:rPr>
    </w:lvl>
    <w:lvl w:ilvl="4">
      <w:start w:val="1"/>
      <w:numFmt w:val="decimal"/>
      <w:isLgl w:val="false"/>
      <w:suff w:val="tab"/>
      <w:lvlText w:val="%1.%2.%3.%4.%5."/>
      <w:lvlJc w:val="left"/>
      <w:pPr>
        <w:tabs>
          <w:tab w:val="num" w:pos="0" w:leader="none"/>
        </w:tabs>
        <w:ind w:left="0" w:firstLine="0"/>
      </w:pPr>
      <w:rPr>
        <w:rFonts w:hint="default"/>
      </w:rPr>
    </w:lvl>
    <w:lvl w:ilvl="5">
      <w:start w:val="1"/>
      <w:numFmt w:val="decimal"/>
      <w:isLgl w:val="false"/>
      <w:suff w:val="tab"/>
      <w:lvlText w:val="%1.%2.%3.%4.%5.%6."/>
      <w:lvlJc w:val="left"/>
      <w:pPr>
        <w:tabs>
          <w:tab w:val="num" w:pos="2880" w:leader="none"/>
        </w:tabs>
        <w:ind w:left="2736" w:hanging="936"/>
      </w:pPr>
      <w:rPr>
        <w:rFonts w:hint="default"/>
      </w:rPr>
    </w:lvl>
    <w:lvl w:ilvl="6">
      <w:start w:val="1"/>
      <w:numFmt w:val="decimal"/>
      <w:isLgl w:val="false"/>
      <w:suff w:val="tab"/>
      <w:lvlText w:val="%1.%2.%3.%4.%5.%6.%7."/>
      <w:lvlJc w:val="left"/>
      <w:pPr>
        <w:tabs>
          <w:tab w:val="num" w:pos="3600" w:leader="none"/>
        </w:tabs>
        <w:ind w:left="3240" w:hanging="1080"/>
      </w:pPr>
      <w:rPr>
        <w:rFonts w:hint="default"/>
      </w:rPr>
    </w:lvl>
    <w:lvl w:ilvl="7">
      <w:start w:val="1"/>
      <w:numFmt w:val="decimal"/>
      <w:isLgl w:val="false"/>
      <w:suff w:val="tab"/>
      <w:lvlText w:val="%1.%2.%3.%4.%5.%6.%7.%8."/>
      <w:lvlJc w:val="left"/>
      <w:pPr>
        <w:tabs>
          <w:tab w:val="num" w:pos="3960" w:leader="none"/>
        </w:tabs>
        <w:ind w:left="3744" w:hanging="1224"/>
      </w:pPr>
      <w:rPr>
        <w:rFonts w:hint="default"/>
      </w:rPr>
    </w:lvl>
    <w:lvl w:ilvl="8">
      <w:start w:val="1"/>
      <w:numFmt w:val="decimal"/>
      <w:isLgl w:val="false"/>
      <w:suff w:val="tab"/>
      <w:lvlText w:val="%1.%2.%3.%4.%5.%6.%7.%8.%9."/>
      <w:lvlJc w:val="left"/>
      <w:pPr>
        <w:tabs>
          <w:tab w:val="num" w:pos="4680" w:leader="none"/>
        </w:tabs>
        <w:ind w:left="4320" w:hanging="1440"/>
      </w:pPr>
      <w:rPr>
        <w:rFonts w:hint="default"/>
      </w:rPr>
    </w:lvl>
  </w:abstractNum>
  <w:abstractNum w:abstractNumId="23">
    <w:multiLevelType w:val="hybridMultilevel"/>
    <w:lvl w:ilvl="0">
      <w:start w:val="1"/>
      <w:numFmt w:val="decimal"/>
      <w:isLgl w:val="false"/>
      <w:suff w:val="space"/>
      <w:lvlText w:val="%1."/>
      <w:lvlJc w:val="center"/>
      <w:pPr>
        <w:ind w:left="567" w:firstLine="0"/>
      </w:pPr>
      <w:rPr>
        <w:rFonts w:hint="default"/>
      </w:rPr>
    </w:lvl>
    <w:lvl w:ilvl="1">
      <w:start w:val="1"/>
      <w:numFmt w:val="decimal"/>
      <w:isLgl w:val="false"/>
      <w:suff w:val="space"/>
      <w:lvlText w:val="%1.%2."/>
      <w:lvlJc w:val="left"/>
      <w:pPr>
        <w:ind w:left="0" w:firstLine="0"/>
      </w:pPr>
      <w:rPr>
        <w:rFonts w:hint="default"/>
      </w:rPr>
    </w:lvl>
    <w:lvl w:ilvl="2">
      <w:start w:val="1"/>
      <w:numFmt w:val="decimal"/>
      <w:isLgl w:val="false"/>
      <w:suff w:val="tab"/>
      <w:lvlText w:val="%1.%2.%3."/>
      <w:lvlJc w:val="left"/>
      <w:pPr>
        <w:tabs>
          <w:tab w:val="num" w:pos="0" w:leader="none"/>
        </w:tabs>
        <w:ind w:left="0" w:firstLine="0"/>
      </w:pPr>
      <w:rPr>
        <w:rFonts w:hint="default"/>
      </w:rPr>
    </w:lvl>
    <w:lvl w:ilvl="3">
      <w:start w:val="1"/>
      <w:numFmt w:val="decimal"/>
      <w:isLgl w:val="false"/>
      <w:suff w:val="tab"/>
      <w:lvlText w:val="%1.%2.%3.%4."/>
      <w:lvlJc w:val="left"/>
      <w:pPr>
        <w:tabs>
          <w:tab w:val="num" w:pos="0" w:leader="none"/>
        </w:tabs>
        <w:ind w:left="0" w:firstLine="0"/>
      </w:pPr>
      <w:rPr>
        <w:rFonts w:hint="default"/>
      </w:rPr>
    </w:lvl>
    <w:lvl w:ilvl="4">
      <w:start w:val="1"/>
      <w:numFmt w:val="decimal"/>
      <w:isLgl w:val="false"/>
      <w:suff w:val="tab"/>
      <w:lvlText w:val="%1.%2.%3.%4.%5."/>
      <w:lvlJc w:val="left"/>
      <w:pPr>
        <w:tabs>
          <w:tab w:val="num" w:pos="0" w:leader="none"/>
        </w:tabs>
        <w:ind w:left="0" w:firstLine="0"/>
      </w:pPr>
      <w:rPr>
        <w:rFonts w:hint="default"/>
      </w:rPr>
    </w:lvl>
    <w:lvl w:ilvl="5">
      <w:start w:val="1"/>
      <w:numFmt w:val="decimal"/>
      <w:isLgl w:val="false"/>
      <w:suff w:val="tab"/>
      <w:lvlText w:val="%1.%2.%3.%4.%5.%6."/>
      <w:lvlJc w:val="left"/>
      <w:pPr>
        <w:tabs>
          <w:tab w:val="num" w:pos="2880" w:leader="none"/>
        </w:tabs>
        <w:ind w:left="2736" w:hanging="936"/>
      </w:pPr>
      <w:rPr>
        <w:rFonts w:hint="default"/>
      </w:rPr>
    </w:lvl>
    <w:lvl w:ilvl="6">
      <w:start w:val="1"/>
      <w:numFmt w:val="decimal"/>
      <w:isLgl w:val="false"/>
      <w:suff w:val="tab"/>
      <w:lvlText w:val="%1.%2.%3.%4.%5.%6.%7."/>
      <w:lvlJc w:val="left"/>
      <w:pPr>
        <w:tabs>
          <w:tab w:val="num" w:pos="3600" w:leader="none"/>
        </w:tabs>
        <w:ind w:left="3240" w:hanging="1080"/>
      </w:pPr>
      <w:rPr>
        <w:rFonts w:hint="default"/>
      </w:rPr>
    </w:lvl>
    <w:lvl w:ilvl="7">
      <w:start w:val="1"/>
      <w:numFmt w:val="decimal"/>
      <w:isLgl w:val="false"/>
      <w:suff w:val="tab"/>
      <w:lvlText w:val="%1.%2.%3.%4.%5.%6.%7.%8."/>
      <w:lvlJc w:val="left"/>
      <w:pPr>
        <w:tabs>
          <w:tab w:val="num" w:pos="3960" w:leader="none"/>
        </w:tabs>
        <w:ind w:left="3744" w:hanging="1224"/>
      </w:pPr>
      <w:rPr>
        <w:rFonts w:hint="default"/>
      </w:rPr>
    </w:lvl>
    <w:lvl w:ilvl="8">
      <w:start w:val="1"/>
      <w:numFmt w:val="decimal"/>
      <w:isLgl w:val="false"/>
      <w:suff w:val="tab"/>
      <w:lvlText w:val="%1.%2.%3.%4.%5.%6.%7.%8.%9."/>
      <w:lvlJc w:val="left"/>
      <w:pPr>
        <w:tabs>
          <w:tab w:val="num" w:pos="4680" w:leader="none"/>
        </w:tabs>
        <w:ind w:left="4320" w:hanging="1440"/>
      </w:pPr>
      <w:rPr>
        <w:rFonts w:hint="default"/>
      </w:rPr>
    </w:lvl>
  </w:abstractNum>
  <w:abstractNum w:abstractNumId="24">
    <w:multiLevelType w:val="hybridMultilevel"/>
    <w:lvl w:ilvl="0">
      <w:start w:val="1"/>
      <w:numFmt w:val="decimal"/>
      <w:isLgl w:val="false"/>
      <w:suff w:val="space"/>
      <w:lvlText w:val="%1."/>
      <w:lvlJc w:val="center"/>
      <w:pPr>
        <w:ind w:left="567" w:firstLine="0"/>
      </w:pPr>
      <w:rPr>
        <w:rFonts w:hint="default"/>
      </w:rPr>
    </w:lvl>
    <w:lvl w:ilvl="1">
      <w:start w:val="1"/>
      <w:numFmt w:val="decimal"/>
      <w:isLgl w:val="false"/>
      <w:suff w:val="space"/>
      <w:lvlText w:val="%1.%2."/>
      <w:lvlJc w:val="left"/>
      <w:pPr>
        <w:ind w:left="0" w:firstLine="0"/>
      </w:pPr>
      <w:rPr>
        <w:rFonts w:hint="default"/>
      </w:rPr>
    </w:lvl>
    <w:lvl w:ilvl="2">
      <w:start w:val="1"/>
      <w:numFmt w:val="decimal"/>
      <w:isLgl w:val="false"/>
      <w:suff w:val="tab"/>
      <w:lvlText w:val="%1.%2.%3."/>
      <w:lvlJc w:val="left"/>
      <w:pPr>
        <w:tabs>
          <w:tab w:val="num" w:pos="0" w:leader="none"/>
        </w:tabs>
        <w:ind w:left="0" w:firstLine="0"/>
      </w:pPr>
      <w:rPr>
        <w:rFonts w:hint="default"/>
      </w:rPr>
    </w:lvl>
    <w:lvl w:ilvl="3">
      <w:start w:val="1"/>
      <w:numFmt w:val="decimal"/>
      <w:isLgl w:val="false"/>
      <w:suff w:val="tab"/>
      <w:lvlText w:val="%1.%2.%3.%4."/>
      <w:lvlJc w:val="left"/>
      <w:pPr>
        <w:tabs>
          <w:tab w:val="num" w:pos="0" w:leader="none"/>
        </w:tabs>
        <w:ind w:left="0" w:firstLine="0"/>
      </w:pPr>
      <w:rPr>
        <w:rFonts w:hint="default"/>
      </w:rPr>
    </w:lvl>
    <w:lvl w:ilvl="4">
      <w:start w:val="1"/>
      <w:numFmt w:val="decimal"/>
      <w:isLgl w:val="false"/>
      <w:suff w:val="tab"/>
      <w:lvlText w:val="%1.%2.%3.%4.%5."/>
      <w:lvlJc w:val="left"/>
      <w:pPr>
        <w:tabs>
          <w:tab w:val="num" w:pos="0" w:leader="none"/>
        </w:tabs>
        <w:ind w:left="0" w:firstLine="0"/>
      </w:pPr>
      <w:rPr>
        <w:rFonts w:hint="default"/>
      </w:rPr>
    </w:lvl>
    <w:lvl w:ilvl="5">
      <w:start w:val="1"/>
      <w:numFmt w:val="decimal"/>
      <w:isLgl w:val="false"/>
      <w:suff w:val="tab"/>
      <w:lvlText w:val="%1.%2.%3.%4.%5.%6."/>
      <w:lvlJc w:val="left"/>
      <w:pPr>
        <w:tabs>
          <w:tab w:val="num" w:pos="2880" w:leader="none"/>
        </w:tabs>
        <w:ind w:left="2736" w:hanging="936"/>
      </w:pPr>
      <w:rPr>
        <w:rFonts w:hint="default"/>
      </w:rPr>
    </w:lvl>
    <w:lvl w:ilvl="6">
      <w:start w:val="1"/>
      <w:numFmt w:val="decimal"/>
      <w:isLgl w:val="false"/>
      <w:suff w:val="tab"/>
      <w:lvlText w:val="%1.%2.%3.%4.%5.%6.%7."/>
      <w:lvlJc w:val="left"/>
      <w:pPr>
        <w:tabs>
          <w:tab w:val="num" w:pos="3600" w:leader="none"/>
        </w:tabs>
        <w:ind w:left="3240" w:hanging="1080"/>
      </w:pPr>
      <w:rPr>
        <w:rFonts w:hint="default"/>
      </w:rPr>
    </w:lvl>
    <w:lvl w:ilvl="7">
      <w:start w:val="1"/>
      <w:numFmt w:val="decimal"/>
      <w:isLgl w:val="false"/>
      <w:suff w:val="tab"/>
      <w:lvlText w:val="%1.%2.%3.%4.%5.%6.%7.%8."/>
      <w:lvlJc w:val="left"/>
      <w:pPr>
        <w:tabs>
          <w:tab w:val="num" w:pos="3960" w:leader="none"/>
        </w:tabs>
        <w:ind w:left="3744" w:hanging="1224"/>
      </w:pPr>
      <w:rPr>
        <w:rFonts w:hint="default"/>
      </w:rPr>
    </w:lvl>
    <w:lvl w:ilvl="8">
      <w:start w:val="1"/>
      <w:numFmt w:val="decimal"/>
      <w:isLgl w:val="false"/>
      <w:suff w:val="tab"/>
      <w:lvlText w:val="%1.%2.%3.%4.%5.%6.%7.%8.%9."/>
      <w:lvlJc w:val="left"/>
      <w:pPr>
        <w:tabs>
          <w:tab w:val="num" w:pos="4680" w:leader="none"/>
        </w:tabs>
        <w:ind w:left="4320" w:hanging="1440"/>
      </w:pPr>
      <w:rPr>
        <w:rFonts w:hint="default"/>
      </w:rPr>
    </w:lvl>
  </w:abstractNum>
  <w:abstractNum w:abstractNumId="25">
    <w:multiLevelType w:val="hybridMultilevel"/>
    <w:lvl w:ilvl="0">
      <w:start w:val="1"/>
      <w:numFmt w:val="decimal"/>
      <w:isLgl w:val="false"/>
      <w:suff w:val="space"/>
      <w:lvlText w:val="%1."/>
      <w:lvlJc w:val="center"/>
      <w:pPr>
        <w:ind w:left="567" w:firstLine="0"/>
      </w:pPr>
      <w:rPr>
        <w:rFonts w:hint="default"/>
      </w:rPr>
    </w:lvl>
    <w:lvl w:ilvl="1">
      <w:start w:val="1"/>
      <w:numFmt w:val="decimal"/>
      <w:isLgl w:val="false"/>
      <w:suff w:val="space"/>
      <w:lvlText w:val="%1.%2."/>
      <w:lvlJc w:val="left"/>
      <w:pPr>
        <w:ind w:left="0" w:firstLine="0"/>
      </w:pPr>
      <w:rPr>
        <w:rFonts w:hint="default"/>
      </w:rPr>
    </w:lvl>
    <w:lvl w:ilvl="2">
      <w:start w:val="1"/>
      <w:numFmt w:val="decimal"/>
      <w:isLgl w:val="false"/>
      <w:suff w:val="tab"/>
      <w:lvlText w:val="%1.%2.%3."/>
      <w:lvlJc w:val="left"/>
      <w:pPr>
        <w:tabs>
          <w:tab w:val="num" w:pos="0" w:leader="none"/>
        </w:tabs>
        <w:ind w:left="0" w:firstLine="0"/>
      </w:pPr>
      <w:rPr>
        <w:rFonts w:hint="default"/>
      </w:rPr>
    </w:lvl>
    <w:lvl w:ilvl="3">
      <w:start w:val="1"/>
      <w:numFmt w:val="decimal"/>
      <w:isLgl w:val="false"/>
      <w:suff w:val="tab"/>
      <w:lvlText w:val="%1.%2.%3.%4."/>
      <w:lvlJc w:val="left"/>
      <w:pPr>
        <w:tabs>
          <w:tab w:val="num" w:pos="0" w:leader="none"/>
        </w:tabs>
        <w:ind w:left="0" w:firstLine="0"/>
      </w:pPr>
      <w:rPr>
        <w:rFonts w:hint="default"/>
      </w:rPr>
    </w:lvl>
    <w:lvl w:ilvl="4">
      <w:start w:val="1"/>
      <w:numFmt w:val="decimal"/>
      <w:isLgl w:val="false"/>
      <w:suff w:val="tab"/>
      <w:lvlText w:val="%1.%2.%3.%4.%5."/>
      <w:lvlJc w:val="left"/>
      <w:pPr>
        <w:tabs>
          <w:tab w:val="num" w:pos="0" w:leader="none"/>
        </w:tabs>
        <w:ind w:left="0" w:firstLine="0"/>
      </w:pPr>
      <w:rPr>
        <w:rFonts w:hint="default"/>
      </w:rPr>
    </w:lvl>
    <w:lvl w:ilvl="5">
      <w:start w:val="1"/>
      <w:numFmt w:val="decimal"/>
      <w:isLgl w:val="false"/>
      <w:suff w:val="tab"/>
      <w:lvlText w:val="%1.%2.%3.%4.%5.%6."/>
      <w:lvlJc w:val="left"/>
      <w:pPr>
        <w:tabs>
          <w:tab w:val="num" w:pos="2880" w:leader="none"/>
        </w:tabs>
        <w:ind w:left="2736" w:hanging="936"/>
      </w:pPr>
      <w:rPr>
        <w:rFonts w:hint="default"/>
      </w:rPr>
    </w:lvl>
    <w:lvl w:ilvl="6">
      <w:start w:val="1"/>
      <w:numFmt w:val="decimal"/>
      <w:isLgl w:val="false"/>
      <w:suff w:val="tab"/>
      <w:lvlText w:val="%1.%2.%3.%4.%5.%6.%7."/>
      <w:lvlJc w:val="left"/>
      <w:pPr>
        <w:tabs>
          <w:tab w:val="num" w:pos="3600" w:leader="none"/>
        </w:tabs>
        <w:ind w:left="3240" w:hanging="1080"/>
      </w:pPr>
      <w:rPr>
        <w:rFonts w:hint="default"/>
      </w:rPr>
    </w:lvl>
    <w:lvl w:ilvl="7">
      <w:start w:val="1"/>
      <w:numFmt w:val="decimal"/>
      <w:isLgl w:val="false"/>
      <w:suff w:val="tab"/>
      <w:lvlText w:val="%1.%2.%3.%4.%5.%6.%7.%8."/>
      <w:lvlJc w:val="left"/>
      <w:pPr>
        <w:tabs>
          <w:tab w:val="num" w:pos="3960" w:leader="none"/>
        </w:tabs>
        <w:ind w:left="3744" w:hanging="1224"/>
      </w:pPr>
      <w:rPr>
        <w:rFonts w:hint="default"/>
      </w:rPr>
    </w:lvl>
    <w:lvl w:ilvl="8">
      <w:start w:val="1"/>
      <w:numFmt w:val="decimal"/>
      <w:isLgl w:val="false"/>
      <w:suff w:val="tab"/>
      <w:lvlText w:val="%1.%2.%3.%4.%5.%6.%7.%8.%9."/>
      <w:lvlJc w:val="left"/>
      <w:pPr>
        <w:tabs>
          <w:tab w:val="num" w:pos="4680" w:leader="none"/>
        </w:tabs>
        <w:ind w:left="4320" w:hanging="1440"/>
      </w:pPr>
      <w:rPr>
        <w:rFonts w:hint="default"/>
      </w:rPr>
    </w:lvl>
  </w:abstractNum>
  <w:abstractNum w:abstractNumId="26">
    <w:multiLevelType w:val="hybridMultilevel"/>
    <w:lvl w:ilvl="0">
      <w:start w:val="1"/>
      <w:numFmt w:val="decimal"/>
      <w:isLgl w:val="false"/>
      <w:suff w:val="space"/>
      <w:lvlText w:val="%1."/>
      <w:lvlJc w:val="center"/>
      <w:pPr>
        <w:ind w:left="567" w:firstLine="0"/>
      </w:pPr>
      <w:rPr>
        <w:rFonts w:hint="default"/>
      </w:rPr>
    </w:lvl>
    <w:lvl w:ilvl="1">
      <w:start w:val="1"/>
      <w:numFmt w:val="decimal"/>
      <w:isLgl w:val="false"/>
      <w:suff w:val="space"/>
      <w:lvlText w:val="%1.%2."/>
      <w:lvlJc w:val="left"/>
      <w:pPr>
        <w:ind w:left="0" w:firstLine="0"/>
      </w:pPr>
      <w:rPr>
        <w:rFonts w:hint="default"/>
      </w:rPr>
    </w:lvl>
    <w:lvl w:ilvl="2">
      <w:start w:val="1"/>
      <w:numFmt w:val="decimal"/>
      <w:isLgl w:val="false"/>
      <w:suff w:val="tab"/>
      <w:lvlText w:val="%1.%2.%3."/>
      <w:lvlJc w:val="left"/>
      <w:pPr>
        <w:tabs>
          <w:tab w:val="num" w:pos="0" w:leader="none"/>
        </w:tabs>
        <w:ind w:left="0" w:firstLine="0"/>
      </w:pPr>
      <w:rPr>
        <w:rFonts w:hint="default"/>
      </w:rPr>
    </w:lvl>
    <w:lvl w:ilvl="3">
      <w:start w:val="1"/>
      <w:numFmt w:val="decimal"/>
      <w:isLgl w:val="false"/>
      <w:suff w:val="tab"/>
      <w:lvlText w:val="%1.%2.%3.%4."/>
      <w:lvlJc w:val="left"/>
      <w:pPr>
        <w:tabs>
          <w:tab w:val="num" w:pos="0" w:leader="none"/>
        </w:tabs>
        <w:ind w:left="0" w:firstLine="0"/>
      </w:pPr>
      <w:rPr>
        <w:rFonts w:hint="default"/>
      </w:rPr>
    </w:lvl>
    <w:lvl w:ilvl="4">
      <w:start w:val="1"/>
      <w:numFmt w:val="decimal"/>
      <w:isLgl w:val="false"/>
      <w:suff w:val="tab"/>
      <w:lvlText w:val="%1.%2.%3.%4.%5."/>
      <w:lvlJc w:val="left"/>
      <w:pPr>
        <w:tabs>
          <w:tab w:val="num" w:pos="0" w:leader="none"/>
        </w:tabs>
        <w:ind w:left="0" w:firstLine="0"/>
      </w:pPr>
      <w:rPr>
        <w:rFonts w:hint="default"/>
      </w:rPr>
    </w:lvl>
    <w:lvl w:ilvl="5">
      <w:start w:val="1"/>
      <w:numFmt w:val="decimal"/>
      <w:isLgl w:val="false"/>
      <w:suff w:val="tab"/>
      <w:lvlText w:val="%1.%2.%3.%4.%5.%6."/>
      <w:lvlJc w:val="left"/>
      <w:pPr>
        <w:tabs>
          <w:tab w:val="num" w:pos="2880" w:leader="none"/>
        </w:tabs>
        <w:ind w:left="2736" w:hanging="936"/>
      </w:pPr>
      <w:rPr>
        <w:rFonts w:hint="default"/>
      </w:rPr>
    </w:lvl>
    <w:lvl w:ilvl="6">
      <w:start w:val="1"/>
      <w:numFmt w:val="decimal"/>
      <w:isLgl w:val="false"/>
      <w:suff w:val="tab"/>
      <w:lvlText w:val="%1.%2.%3.%4.%5.%6.%7."/>
      <w:lvlJc w:val="left"/>
      <w:pPr>
        <w:tabs>
          <w:tab w:val="num" w:pos="3600" w:leader="none"/>
        </w:tabs>
        <w:ind w:left="3240" w:hanging="1080"/>
      </w:pPr>
      <w:rPr>
        <w:rFonts w:hint="default"/>
      </w:rPr>
    </w:lvl>
    <w:lvl w:ilvl="7">
      <w:start w:val="1"/>
      <w:numFmt w:val="decimal"/>
      <w:isLgl w:val="false"/>
      <w:suff w:val="tab"/>
      <w:lvlText w:val="%1.%2.%3.%4.%5.%6.%7.%8."/>
      <w:lvlJc w:val="left"/>
      <w:pPr>
        <w:tabs>
          <w:tab w:val="num" w:pos="3960" w:leader="none"/>
        </w:tabs>
        <w:ind w:left="3744" w:hanging="1224"/>
      </w:pPr>
      <w:rPr>
        <w:rFonts w:hint="default"/>
      </w:rPr>
    </w:lvl>
    <w:lvl w:ilvl="8">
      <w:start w:val="1"/>
      <w:numFmt w:val="decimal"/>
      <w:isLgl w:val="false"/>
      <w:suff w:val="tab"/>
      <w:lvlText w:val="%1.%2.%3.%4.%5.%6.%7.%8.%9."/>
      <w:lvlJc w:val="left"/>
      <w:pPr>
        <w:tabs>
          <w:tab w:val="num" w:pos="4680" w:leader="none"/>
        </w:tabs>
        <w:ind w:left="4320" w:hanging="1440"/>
      </w:pPr>
      <w:rPr>
        <w:rFonts w:hint="default"/>
      </w:rPr>
    </w:lvl>
  </w:abstractNum>
  <w:abstractNum w:abstractNumId="27">
    <w:multiLevelType w:val="hybridMultilevel"/>
    <w:lvl w:ilvl="0">
      <w:start w:val="1"/>
      <w:numFmt w:val="decimal"/>
      <w:isLgl w:val="false"/>
      <w:suff w:val="space"/>
      <w:lvlText w:val="%1."/>
      <w:lvlJc w:val="center"/>
      <w:pPr>
        <w:ind w:left="567" w:firstLine="0"/>
      </w:pPr>
      <w:rPr>
        <w:rFonts w:hint="default"/>
      </w:rPr>
    </w:lvl>
    <w:lvl w:ilvl="1">
      <w:start w:val="1"/>
      <w:numFmt w:val="decimal"/>
      <w:isLgl w:val="false"/>
      <w:suff w:val="space"/>
      <w:lvlText w:val="%1.%2."/>
      <w:lvlJc w:val="left"/>
      <w:pPr>
        <w:ind w:left="0" w:firstLine="0"/>
      </w:pPr>
      <w:rPr>
        <w:rFonts w:hint="default"/>
      </w:rPr>
    </w:lvl>
    <w:lvl w:ilvl="2">
      <w:start w:val="1"/>
      <w:numFmt w:val="decimal"/>
      <w:isLgl w:val="false"/>
      <w:suff w:val="tab"/>
      <w:lvlText w:val="%1.%2.%3."/>
      <w:lvlJc w:val="left"/>
      <w:pPr>
        <w:tabs>
          <w:tab w:val="num" w:pos="0" w:leader="none"/>
        </w:tabs>
        <w:ind w:left="0" w:firstLine="0"/>
      </w:pPr>
      <w:rPr>
        <w:rFonts w:hint="default"/>
      </w:rPr>
    </w:lvl>
    <w:lvl w:ilvl="3">
      <w:start w:val="1"/>
      <w:numFmt w:val="decimal"/>
      <w:isLgl w:val="false"/>
      <w:suff w:val="tab"/>
      <w:lvlText w:val="%1.%2.%3.%4."/>
      <w:lvlJc w:val="left"/>
      <w:pPr>
        <w:tabs>
          <w:tab w:val="num" w:pos="0" w:leader="none"/>
        </w:tabs>
        <w:ind w:left="0" w:firstLine="0"/>
      </w:pPr>
      <w:rPr>
        <w:rFonts w:hint="default"/>
      </w:rPr>
    </w:lvl>
    <w:lvl w:ilvl="4">
      <w:start w:val="1"/>
      <w:numFmt w:val="decimal"/>
      <w:isLgl w:val="false"/>
      <w:suff w:val="tab"/>
      <w:lvlText w:val="%1.%2.%3.%4.%5."/>
      <w:lvlJc w:val="left"/>
      <w:pPr>
        <w:tabs>
          <w:tab w:val="num" w:pos="0" w:leader="none"/>
        </w:tabs>
        <w:ind w:left="0" w:firstLine="0"/>
      </w:pPr>
      <w:rPr>
        <w:rFonts w:hint="default"/>
      </w:rPr>
    </w:lvl>
    <w:lvl w:ilvl="5">
      <w:start w:val="1"/>
      <w:numFmt w:val="decimal"/>
      <w:isLgl w:val="false"/>
      <w:suff w:val="tab"/>
      <w:lvlText w:val="%1.%2.%3.%4.%5.%6."/>
      <w:lvlJc w:val="left"/>
      <w:pPr>
        <w:tabs>
          <w:tab w:val="num" w:pos="2880" w:leader="none"/>
        </w:tabs>
        <w:ind w:left="2736" w:hanging="936"/>
      </w:pPr>
      <w:rPr>
        <w:rFonts w:hint="default"/>
      </w:rPr>
    </w:lvl>
    <w:lvl w:ilvl="6">
      <w:start w:val="1"/>
      <w:numFmt w:val="decimal"/>
      <w:isLgl w:val="false"/>
      <w:suff w:val="tab"/>
      <w:lvlText w:val="%1.%2.%3.%4.%5.%6.%7."/>
      <w:lvlJc w:val="left"/>
      <w:pPr>
        <w:tabs>
          <w:tab w:val="num" w:pos="3600" w:leader="none"/>
        </w:tabs>
        <w:ind w:left="3240" w:hanging="1080"/>
      </w:pPr>
      <w:rPr>
        <w:rFonts w:hint="default"/>
      </w:rPr>
    </w:lvl>
    <w:lvl w:ilvl="7">
      <w:start w:val="1"/>
      <w:numFmt w:val="decimal"/>
      <w:isLgl w:val="false"/>
      <w:suff w:val="tab"/>
      <w:lvlText w:val="%1.%2.%3.%4.%5.%6.%7.%8."/>
      <w:lvlJc w:val="left"/>
      <w:pPr>
        <w:tabs>
          <w:tab w:val="num" w:pos="3960" w:leader="none"/>
        </w:tabs>
        <w:ind w:left="3744" w:hanging="1224"/>
      </w:pPr>
      <w:rPr>
        <w:rFonts w:hint="default"/>
      </w:rPr>
    </w:lvl>
    <w:lvl w:ilvl="8">
      <w:start w:val="1"/>
      <w:numFmt w:val="decimal"/>
      <w:isLgl w:val="false"/>
      <w:suff w:val="tab"/>
      <w:lvlText w:val="%1.%2.%3.%4.%5.%6.%7.%8.%9."/>
      <w:lvlJc w:val="left"/>
      <w:pPr>
        <w:tabs>
          <w:tab w:val="num" w:pos="4680" w:leader="none"/>
        </w:tabs>
        <w:ind w:left="4320" w:hanging="1440"/>
      </w:pPr>
      <w:rPr>
        <w:rFonts w:hint="default"/>
      </w:rPr>
    </w:lvl>
  </w:abstractNum>
  <w:abstractNum w:abstractNumId="28">
    <w:multiLevelType w:val="hybridMultilevel"/>
    <w:lvl w:ilvl="0">
      <w:start w:val="1"/>
      <w:numFmt w:val="decimal"/>
      <w:isLgl w:val="false"/>
      <w:suff w:val="space"/>
      <w:lvlText w:val="%1."/>
      <w:lvlJc w:val="center"/>
      <w:pPr>
        <w:ind w:left="567" w:firstLine="0"/>
      </w:pPr>
      <w:rPr>
        <w:rFonts w:hint="default"/>
      </w:rPr>
    </w:lvl>
    <w:lvl w:ilvl="1">
      <w:start w:val="1"/>
      <w:numFmt w:val="decimal"/>
      <w:isLgl w:val="false"/>
      <w:suff w:val="space"/>
      <w:lvlText w:val="%1.%2."/>
      <w:lvlJc w:val="left"/>
      <w:pPr>
        <w:ind w:left="0" w:firstLine="0"/>
      </w:pPr>
      <w:rPr>
        <w:rFonts w:hint="default"/>
      </w:rPr>
    </w:lvl>
    <w:lvl w:ilvl="2">
      <w:start w:val="1"/>
      <w:numFmt w:val="decimal"/>
      <w:isLgl w:val="false"/>
      <w:suff w:val="tab"/>
      <w:lvlText w:val="%1.%2.%3."/>
      <w:lvlJc w:val="left"/>
      <w:pPr>
        <w:tabs>
          <w:tab w:val="num" w:pos="0" w:leader="none"/>
        </w:tabs>
        <w:ind w:left="0" w:firstLine="0"/>
      </w:pPr>
      <w:rPr>
        <w:rFonts w:hint="default"/>
      </w:rPr>
    </w:lvl>
    <w:lvl w:ilvl="3">
      <w:start w:val="1"/>
      <w:numFmt w:val="decimal"/>
      <w:isLgl w:val="false"/>
      <w:suff w:val="tab"/>
      <w:lvlText w:val="%1.%2.%3.%4."/>
      <w:lvlJc w:val="left"/>
      <w:pPr>
        <w:tabs>
          <w:tab w:val="num" w:pos="0" w:leader="none"/>
        </w:tabs>
        <w:ind w:left="0" w:firstLine="0"/>
      </w:pPr>
      <w:rPr>
        <w:rFonts w:hint="default"/>
      </w:rPr>
    </w:lvl>
    <w:lvl w:ilvl="4">
      <w:start w:val="1"/>
      <w:numFmt w:val="decimal"/>
      <w:isLgl w:val="false"/>
      <w:suff w:val="tab"/>
      <w:lvlText w:val="%1.%2.%3.%4.%5."/>
      <w:lvlJc w:val="left"/>
      <w:pPr>
        <w:tabs>
          <w:tab w:val="num" w:pos="0" w:leader="none"/>
        </w:tabs>
        <w:ind w:left="0" w:firstLine="0"/>
      </w:pPr>
      <w:rPr>
        <w:rFonts w:hint="default"/>
      </w:rPr>
    </w:lvl>
    <w:lvl w:ilvl="5">
      <w:start w:val="1"/>
      <w:numFmt w:val="decimal"/>
      <w:isLgl w:val="false"/>
      <w:suff w:val="tab"/>
      <w:lvlText w:val="%1.%2.%3.%4.%5.%6."/>
      <w:lvlJc w:val="left"/>
      <w:pPr>
        <w:tabs>
          <w:tab w:val="num" w:pos="2880" w:leader="none"/>
        </w:tabs>
        <w:ind w:left="2736" w:hanging="936"/>
      </w:pPr>
      <w:rPr>
        <w:rFonts w:hint="default"/>
      </w:rPr>
    </w:lvl>
    <w:lvl w:ilvl="6">
      <w:start w:val="1"/>
      <w:numFmt w:val="decimal"/>
      <w:isLgl w:val="false"/>
      <w:suff w:val="tab"/>
      <w:lvlText w:val="%1.%2.%3.%4.%5.%6.%7."/>
      <w:lvlJc w:val="left"/>
      <w:pPr>
        <w:tabs>
          <w:tab w:val="num" w:pos="3600" w:leader="none"/>
        </w:tabs>
        <w:ind w:left="3240" w:hanging="1080"/>
      </w:pPr>
      <w:rPr>
        <w:rFonts w:hint="default"/>
      </w:rPr>
    </w:lvl>
    <w:lvl w:ilvl="7">
      <w:start w:val="1"/>
      <w:numFmt w:val="decimal"/>
      <w:isLgl w:val="false"/>
      <w:suff w:val="tab"/>
      <w:lvlText w:val="%1.%2.%3.%4.%5.%6.%7.%8."/>
      <w:lvlJc w:val="left"/>
      <w:pPr>
        <w:tabs>
          <w:tab w:val="num" w:pos="3960" w:leader="none"/>
        </w:tabs>
        <w:ind w:left="3744" w:hanging="1224"/>
      </w:pPr>
      <w:rPr>
        <w:rFonts w:hint="default"/>
      </w:rPr>
    </w:lvl>
    <w:lvl w:ilvl="8">
      <w:start w:val="1"/>
      <w:numFmt w:val="decimal"/>
      <w:isLgl w:val="false"/>
      <w:suff w:val="tab"/>
      <w:lvlText w:val="%1.%2.%3.%4.%5.%6.%7.%8.%9."/>
      <w:lvlJc w:val="left"/>
      <w:pPr>
        <w:tabs>
          <w:tab w:val="num" w:pos="4680" w:leader="none"/>
        </w:tabs>
        <w:ind w:left="4320" w:hanging="1440"/>
      </w:pPr>
      <w:rPr>
        <w:rFonts w:hint="default"/>
      </w:rPr>
    </w:lvl>
  </w:abstractNum>
  <w:abstractNum w:abstractNumId="29">
    <w:multiLevelType w:val="hybridMultilevel"/>
    <w:lvl w:ilvl="0">
      <w:start w:val="1"/>
      <w:numFmt w:val="decimal"/>
      <w:isLgl w:val="false"/>
      <w:suff w:val="space"/>
      <w:lvlText w:val="%1."/>
      <w:lvlJc w:val="center"/>
      <w:pPr>
        <w:ind w:left="567" w:firstLine="0"/>
      </w:pPr>
      <w:rPr>
        <w:rFonts w:hint="default"/>
      </w:rPr>
    </w:lvl>
    <w:lvl w:ilvl="1">
      <w:start w:val="1"/>
      <w:numFmt w:val="decimal"/>
      <w:isLgl w:val="false"/>
      <w:suff w:val="space"/>
      <w:lvlText w:val="%1.%2."/>
      <w:lvlJc w:val="left"/>
      <w:pPr>
        <w:ind w:left="0" w:firstLine="0"/>
      </w:pPr>
      <w:rPr>
        <w:rFonts w:hint="default"/>
      </w:rPr>
    </w:lvl>
    <w:lvl w:ilvl="2">
      <w:start w:val="1"/>
      <w:numFmt w:val="decimal"/>
      <w:isLgl w:val="false"/>
      <w:suff w:val="tab"/>
      <w:lvlText w:val="%1.%2.%3."/>
      <w:lvlJc w:val="left"/>
      <w:pPr>
        <w:tabs>
          <w:tab w:val="num" w:pos="0" w:leader="none"/>
        </w:tabs>
        <w:ind w:left="0" w:firstLine="0"/>
      </w:pPr>
      <w:rPr>
        <w:rFonts w:hint="default"/>
      </w:rPr>
    </w:lvl>
    <w:lvl w:ilvl="3">
      <w:start w:val="1"/>
      <w:numFmt w:val="decimal"/>
      <w:isLgl w:val="false"/>
      <w:suff w:val="tab"/>
      <w:lvlText w:val="%1.%2.%3.%4."/>
      <w:lvlJc w:val="left"/>
      <w:pPr>
        <w:tabs>
          <w:tab w:val="num" w:pos="0" w:leader="none"/>
        </w:tabs>
        <w:ind w:left="0" w:firstLine="0"/>
      </w:pPr>
      <w:rPr>
        <w:rFonts w:hint="default"/>
      </w:rPr>
    </w:lvl>
    <w:lvl w:ilvl="4">
      <w:start w:val="1"/>
      <w:numFmt w:val="decimal"/>
      <w:isLgl w:val="false"/>
      <w:suff w:val="tab"/>
      <w:lvlText w:val="%1.%2.%3.%4.%5."/>
      <w:lvlJc w:val="left"/>
      <w:pPr>
        <w:tabs>
          <w:tab w:val="num" w:pos="0" w:leader="none"/>
        </w:tabs>
        <w:ind w:left="0" w:firstLine="0"/>
      </w:pPr>
      <w:rPr>
        <w:rFonts w:hint="default"/>
      </w:rPr>
    </w:lvl>
    <w:lvl w:ilvl="5">
      <w:start w:val="1"/>
      <w:numFmt w:val="decimal"/>
      <w:isLgl w:val="false"/>
      <w:suff w:val="tab"/>
      <w:lvlText w:val="%1.%2.%3.%4.%5.%6."/>
      <w:lvlJc w:val="left"/>
      <w:pPr>
        <w:tabs>
          <w:tab w:val="num" w:pos="2880" w:leader="none"/>
        </w:tabs>
        <w:ind w:left="2736" w:hanging="936"/>
      </w:pPr>
      <w:rPr>
        <w:rFonts w:hint="default"/>
      </w:rPr>
    </w:lvl>
    <w:lvl w:ilvl="6">
      <w:start w:val="1"/>
      <w:numFmt w:val="decimal"/>
      <w:isLgl w:val="false"/>
      <w:suff w:val="tab"/>
      <w:lvlText w:val="%1.%2.%3.%4.%5.%6.%7."/>
      <w:lvlJc w:val="left"/>
      <w:pPr>
        <w:tabs>
          <w:tab w:val="num" w:pos="3600" w:leader="none"/>
        </w:tabs>
        <w:ind w:left="3240" w:hanging="1080"/>
      </w:pPr>
      <w:rPr>
        <w:rFonts w:hint="default"/>
      </w:rPr>
    </w:lvl>
    <w:lvl w:ilvl="7">
      <w:start w:val="1"/>
      <w:numFmt w:val="decimal"/>
      <w:isLgl w:val="false"/>
      <w:suff w:val="tab"/>
      <w:lvlText w:val="%1.%2.%3.%4.%5.%6.%7.%8."/>
      <w:lvlJc w:val="left"/>
      <w:pPr>
        <w:tabs>
          <w:tab w:val="num" w:pos="3960" w:leader="none"/>
        </w:tabs>
        <w:ind w:left="3744" w:hanging="1224"/>
      </w:pPr>
      <w:rPr>
        <w:rFonts w:hint="default"/>
      </w:rPr>
    </w:lvl>
    <w:lvl w:ilvl="8">
      <w:start w:val="1"/>
      <w:numFmt w:val="decimal"/>
      <w:isLgl w:val="false"/>
      <w:suff w:val="tab"/>
      <w:lvlText w:val="%1.%2.%3.%4.%5.%6.%7.%8.%9."/>
      <w:lvlJc w:val="left"/>
      <w:pPr>
        <w:tabs>
          <w:tab w:val="num" w:pos="4680" w:leader="none"/>
        </w:tabs>
        <w:ind w:left="4320" w:hanging="1440"/>
      </w:pPr>
      <w:rPr>
        <w:rFonts w:hint="default"/>
      </w:rPr>
    </w:lvl>
  </w:abstractNum>
  <w:abstractNum w:abstractNumId="30">
    <w:multiLevelType w:val="hybridMultilevel"/>
    <w:lvl w:ilvl="0">
      <w:start w:val="1"/>
      <w:numFmt w:val="decimal"/>
      <w:isLgl w:val="false"/>
      <w:suff w:val="space"/>
      <w:lvlText w:val="%1."/>
      <w:lvlJc w:val="center"/>
      <w:pPr>
        <w:ind w:left="567" w:firstLine="0"/>
      </w:pPr>
      <w:rPr>
        <w:rFonts w:hint="default"/>
      </w:rPr>
    </w:lvl>
    <w:lvl w:ilvl="1">
      <w:start w:val="1"/>
      <w:numFmt w:val="decimal"/>
      <w:isLgl w:val="false"/>
      <w:suff w:val="space"/>
      <w:lvlText w:val="%1.%2."/>
      <w:lvlJc w:val="left"/>
      <w:pPr>
        <w:ind w:left="0" w:firstLine="0"/>
      </w:pPr>
      <w:rPr>
        <w:rFonts w:hint="default"/>
      </w:rPr>
    </w:lvl>
    <w:lvl w:ilvl="2">
      <w:start w:val="1"/>
      <w:numFmt w:val="decimal"/>
      <w:isLgl w:val="false"/>
      <w:suff w:val="tab"/>
      <w:lvlText w:val="%1.%2.%3."/>
      <w:lvlJc w:val="left"/>
      <w:pPr>
        <w:tabs>
          <w:tab w:val="num" w:pos="0" w:leader="none"/>
        </w:tabs>
        <w:ind w:left="0" w:firstLine="0"/>
      </w:pPr>
      <w:rPr>
        <w:rFonts w:hint="default"/>
      </w:rPr>
    </w:lvl>
    <w:lvl w:ilvl="3">
      <w:start w:val="1"/>
      <w:numFmt w:val="decimal"/>
      <w:isLgl w:val="false"/>
      <w:suff w:val="tab"/>
      <w:lvlText w:val="%1.%2.%3.%4."/>
      <w:lvlJc w:val="left"/>
      <w:pPr>
        <w:tabs>
          <w:tab w:val="num" w:pos="0" w:leader="none"/>
        </w:tabs>
        <w:ind w:left="0" w:firstLine="0"/>
      </w:pPr>
      <w:rPr>
        <w:rFonts w:hint="default"/>
      </w:rPr>
    </w:lvl>
    <w:lvl w:ilvl="4">
      <w:start w:val="1"/>
      <w:numFmt w:val="decimal"/>
      <w:isLgl w:val="false"/>
      <w:suff w:val="tab"/>
      <w:lvlText w:val="%1.%2.%3.%4.%5."/>
      <w:lvlJc w:val="left"/>
      <w:pPr>
        <w:tabs>
          <w:tab w:val="num" w:pos="0" w:leader="none"/>
        </w:tabs>
        <w:ind w:left="0" w:firstLine="0"/>
      </w:pPr>
      <w:rPr>
        <w:rFonts w:hint="default"/>
      </w:rPr>
    </w:lvl>
    <w:lvl w:ilvl="5">
      <w:start w:val="1"/>
      <w:numFmt w:val="decimal"/>
      <w:isLgl w:val="false"/>
      <w:suff w:val="tab"/>
      <w:lvlText w:val="%1.%2.%3.%4.%5.%6."/>
      <w:lvlJc w:val="left"/>
      <w:pPr>
        <w:tabs>
          <w:tab w:val="num" w:pos="2880" w:leader="none"/>
        </w:tabs>
        <w:ind w:left="2736" w:hanging="936"/>
      </w:pPr>
      <w:rPr>
        <w:rFonts w:hint="default"/>
      </w:rPr>
    </w:lvl>
    <w:lvl w:ilvl="6">
      <w:start w:val="1"/>
      <w:numFmt w:val="decimal"/>
      <w:isLgl w:val="false"/>
      <w:suff w:val="tab"/>
      <w:lvlText w:val="%1.%2.%3.%4.%5.%6.%7."/>
      <w:lvlJc w:val="left"/>
      <w:pPr>
        <w:tabs>
          <w:tab w:val="num" w:pos="3600" w:leader="none"/>
        </w:tabs>
        <w:ind w:left="3240" w:hanging="1080"/>
      </w:pPr>
      <w:rPr>
        <w:rFonts w:hint="default"/>
      </w:rPr>
    </w:lvl>
    <w:lvl w:ilvl="7">
      <w:start w:val="1"/>
      <w:numFmt w:val="decimal"/>
      <w:isLgl w:val="false"/>
      <w:suff w:val="tab"/>
      <w:lvlText w:val="%1.%2.%3.%4.%5.%6.%7.%8."/>
      <w:lvlJc w:val="left"/>
      <w:pPr>
        <w:tabs>
          <w:tab w:val="num" w:pos="3960" w:leader="none"/>
        </w:tabs>
        <w:ind w:left="3744" w:hanging="1224"/>
      </w:pPr>
      <w:rPr>
        <w:rFonts w:hint="default"/>
      </w:rPr>
    </w:lvl>
    <w:lvl w:ilvl="8">
      <w:start w:val="1"/>
      <w:numFmt w:val="decimal"/>
      <w:isLgl w:val="false"/>
      <w:suff w:val="tab"/>
      <w:lvlText w:val="%1.%2.%3.%4.%5.%6.%7.%8.%9."/>
      <w:lvlJc w:val="left"/>
      <w:pPr>
        <w:tabs>
          <w:tab w:val="num" w:pos="4680" w:leader="none"/>
        </w:tabs>
        <w:ind w:left="4320" w:hanging="1440"/>
      </w:pPr>
      <w:rPr>
        <w:rFonts w:hint="default"/>
      </w:rPr>
    </w:lvl>
  </w:abstractNum>
  <w:abstractNum w:abstractNumId="31">
    <w:multiLevelType w:val="hybridMultilevel"/>
    <w:lvl w:ilvl="0">
      <w:start w:val="1"/>
      <w:numFmt w:val="decimal"/>
      <w:isLgl w:val="false"/>
      <w:suff w:val="space"/>
      <w:lvlText w:val="%1."/>
      <w:lvlJc w:val="center"/>
      <w:pPr>
        <w:ind w:left="567" w:firstLine="0"/>
      </w:pPr>
      <w:rPr>
        <w:rFonts w:hint="default"/>
      </w:rPr>
    </w:lvl>
    <w:lvl w:ilvl="1">
      <w:start w:val="1"/>
      <w:numFmt w:val="decimal"/>
      <w:isLgl w:val="false"/>
      <w:suff w:val="space"/>
      <w:lvlText w:val="%1.%2."/>
      <w:lvlJc w:val="left"/>
      <w:pPr>
        <w:ind w:left="0" w:firstLine="0"/>
      </w:pPr>
      <w:rPr>
        <w:rFonts w:hint="default"/>
      </w:rPr>
    </w:lvl>
    <w:lvl w:ilvl="2">
      <w:start w:val="1"/>
      <w:numFmt w:val="decimal"/>
      <w:isLgl w:val="false"/>
      <w:suff w:val="tab"/>
      <w:lvlText w:val="%1.%2.%3."/>
      <w:lvlJc w:val="left"/>
      <w:pPr>
        <w:tabs>
          <w:tab w:val="num" w:pos="0" w:leader="none"/>
        </w:tabs>
        <w:ind w:left="0" w:firstLine="0"/>
      </w:pPr>
      <w:rPr>
        <w:rFonts w:hint="default"/>
      </w:rPr>
    </w:lvl>
    <w:lvl w:ilvl="3">
      <w:start w:val="1"/>
      <w:numFmt w:val="decimal"/>
      <w:isLgl w:val="false"/>
      <w:suff w:val="tab"/>
      <w:lvlText w:val="%1.%2.%3.%4."/>
      <w:lvlJc w:val="left"/>
      <w:pPr>
        <w:tabs>
          <w:tab w:val="num" w:pos="0" w:leader="none"/>
        </w:tabs>
        <w:ind w:left="0" w:firstLine="0"/>
      </w:pPr>
      <w:rPr>
        <w:rFonts w:hint="default"/>
      </w:rPr>
    </w:lvl>
    <w:lvl w:ilvl="4">
      <w:start w:val="1"/>
      <w:numFmt w:val="decimal"/>
      <w:isLgl w:val="false"/>
      <w:suff w:val="tab"/>
      <w:lvlText w:val="%1.%2.%3.%4.%5."/>
      <w:lvlJc w:val="left"/>
      <w:pPr>
        <w:tabs>
          <w:tab w:val="num" w:pos="0" w:leader="none"/>
        </w:tabs>
        <w:ind w:left="0" w:firstLine="0"/>
      </w:pPr>
      <w:rPr>
        <w:rFonts w:hint="default"/>
      </w:rPr>
    </w:lvl>
    <w:lvl w:ilvl="5">
      <w:start w:val="1"/>
      <w:numFmt w:val="decimal"/>
      <w:isLgl w:val="false"/>
      <w:suff w:val="tab"/>
      <w:lvlText w:val="%1.%2.%3.%4.%5.%6."/>
      <w:lvlJc w:val="left"/>
      <w:pPr>
        <w:tabs>
          <w:tab w:val="num" w:pos="2880" w:leader="none"/>
        </w:tabs>
        <w:ind w:left="2736" w:hanging="936"/>
      </w:pPr>
      <w:rPr>
        <w:rFonts w:hint="default"/>
      </w:rPr>
    </w:lvl>
    <w:lvl w:ilvl="6">
      <w:start w:val="1"/>
      <w:numFmt w:val="decimal"/>
      <w:isLgl w:val="false"/>
      <w:suff w:val="tab"/>
      <w:lvlText w:val="%1.%2.%3.%4.%5.%6.%7."/>
      <w:lvlJc w:val="left"/>
      <w:pPr>
        <w:tabs>
          <w:tab w:val="num" w:pos="3600" w:leader="none"/>
        </w:tabs>
        <w:ind w:left="3240" w:hanging="1080"/>
      </w:pPr>
      <w:rPr>
        <w:rFonts w:hint="default"/>
      </w:rPr>
    </w:lvl>
    <w:lvl w:ilvl="7">
      <w:start w:val="1"/>
      <w:numFmt w:val="decimal"/>
      <w:isLgl w:val="false"/>
      <w:suff w:val="tab"/>
      <w:lvlText w:val="%1.%2.%3.%4.%5.%6.%7.%8."/>
      <w:lvlJc w:val="left"/>
      <w:pPr>
        <w:tabs>
          <w:tab w:val="num" w:pos="3960" w:leader="none"/>
        </w:tabs>
        <w:ind w:left="3744" w:hanging="1224"/>
      </w:pPr>
      <w:rPr>
        <w:rFonts w:hint="default"/>
      </w:rPr>
    </w:lvl>
    <w:lvl w:ilvl="8">
      <w:start w:val="1"/>
      <w:numFmt w:val="decimal"/>
      <w:isLgl w:val="false"/>
      <w:suff w:val="tab"/>
      <w:lvlText w:val="%1.%2.%3.%4.%5.%6.%7.%8.%9."/>
      <w:lvlJc w:val="left"/>
      <w:pPr>
        <w:tabs>
          <w:tab w:val="num" w:pos="4680" w:leader="none"/>
        </w:tabs>
        <w:ind w:left="4320" w:hanging="1440"/>
      </w:pPr>
      <w:rPr>
        <w:rFonts w:hint="default"/>
      </w:rPr>
    </w:lvl>
  </w:abstractNum>
  <w:abstractNum w:abstractNumId="32">
    <w:multiLevelType w:val="hybridMultilevel"/>
    <w:lvl w:ilvl="0">
      <w:start w:val="1"/>
      <w:numFmt w:val="decimal"/>
      <w:isLgl w:val="false"/>
      <w:suff w:val="space"/>
      <w:lvlText w:val="%1."/>
      <w:lvlJc w:val="center"/>
      <w:pPr>
        <w:ind w:left="567" w:firstLine="0"/>
      </w:pPr>
      <w:rPr>
        <w:rFonts w:hint="default"/>
      </w:rPr>
    </w:lvl>
    <w:lvl w:ilvl="1">
      <w:start w:val="1"/>
      <w:numFmt w:val="decimal"/>
      <w:isLgl w:val="false"/>
      <w:suff w:val="space"/>
      <w:lvlText w:val="%1.%2."/>
      <w:lvlJc w:val="left"/>
      <w:pPr>
        <w:ind w:left="0" w:firstLine="0"/>
      </w:pPr>
      <w:rPr>
        <w:rFonts w:hint="default"/>
      </w:rPr>
    </w:lvl>
    <w:lvl w:ilvl="2">
      <w:start w:val="1"/>
      <w:numFmt w:val="decimal"/>
      <w:isLgl w:val="false"/>
      <w:suff w:val="tab"/>
      <w:lvlText w:val="%1.%2.%3."/>
      <w:lvlJc w:val="left"/>
      <w:pPr>
        <w:tabs>
          <w:tab w:val="num" w:pos="0" w:leader="none"/>
        </w:tabs>
        <w:ind w:left="0" w:firstLine="0"/>
      </w:pPr>
      <w:rPr>
        <w:rFonts w:hint="default"/>
      </w:rPr>
    </w:lvl>
    <w:lvl w:ilvl="3">
      <w:start w:val="1"/>
      <w:numFmt w:val="decimal"/>
      <w:isLgl w:val="false"/>
      <w:suff w:val="tab"/>
      <w:lvlText w:val="%1.%2.%3.%4."/>
      <w:lvlJc w:val="left"/>
      <w:pPr>
        <w:tabs>
          <w:tab w:val="num" w:pos="0" w:leader="none"/>
        </w:tabs>
        <w:ind w:left="0" w:firstLine="0"/>
      </w:pPr>
      <w:rPr>
        <w:rFonts w:hint="default"/>
      </w:rPr>
    </w:lvl>
    <w:lvl w:ilvl="4">
      <w:start w:val="1"/>
      <w:numFmt w:val="decimal"/>
      <w:isLgl w:val="false"/>
      <w:suff w:val="tab"/>
      <w:lvlText w:val="%1.%2.%3.%4.%5."/>
      <w:lvlJc w:val="left"/>
      <w:pPr>
        <w:tabs>
          <w:tab w:val="num" w:pos="0" w:leader="none"/>
        </w:tabs>
        <w:ind w:left="0" w:firstLine="0"/>
      </w:pPr>
      <w:rPr>
        <w:rFonts w:hint="default"/>
      </w:rPr>
    </w:lvl>
    <w:lvl w:ilvl="5">
      <w:start w:val="1"/>
      <w:numFmt w:val="decimal"/>
      <w:isLgl w:val="false"/>
      <w:suff w:val="tab"/>
      <w:lvlText w:val="%1.%2.%3.%4.%5.%6."/>
      <w:lvlJc w:val="left"/>
      <w:pPr>
        <w:tabs>
          <w:tab w:val="num" w:pos="2880" w:leader="none"/>
        </w:tabs>
        <w:ind w:left="2736" w:hanging="936"/>
      </w:pPr>
      <w:rPr>
        <w:rFonts w:hint="default"/>
      </w:rPr>
    </w:lvl>
    <w:lvl w:ilvl="6">
      <w:start w:val="1"/>
      <w:numFmt w:val="decimal"/>
      <w:isLgl w:val="false"/>
      <w:suff w:val="tab"/>
      <w:lvlText w:val="%1.%2.%3.%4.%5.%6.%7."/>
      <w:lvlJc w:val="left"/>
      <w:pPr>
        <w:tabs>
          <w:tab w:val="num" w:pos="3600" w:leader="none"/>
        </w:tabs>
        <w:ind w:left="3240" w:hanging="1080"/>
      </w:pPr>
      <w:rPr>
        <w:rFonts w:hint="default"/>
      </w:rPr>
    </w:lvl>
    <w:lvl w:ilvl="7">
      <w:start w:val="1"/>
      <w:numFmt w:val="decimal"/>
      <w:isLgl w:val="false"/>
      <w:suff w:val="tab"/>
      <w:lvlText w:val="%1.%2.%3.%4.%5.%6.%7.%8."/>
      <w:lvlJc w:val="left"/>
      <w:pPr>
        <w:tabs>
          <w:tab w:val="num" w:pos="3960" w:leader="none"/>
        </w:tabs>
        <w:ind w:left="3744" w:hanging="1224"/>
      </w:pPr>
      <w:rPr>
        <w:rFonts w:hint="default"/>
      </w:rPr>
    </w:lvl>
    <w:lvl w:ilvl="8">
      <w:start w:val="1"/>
      <w:numFmt w:val="decimal"/>
      <w:isLgl w:val="false"/>
      <w:suff w:val="tab"/>
      <w:lvlText w:val="%1.%2.%3.%4.%5.%6.%7.%8.%9."/>
      <w:lvlJc w:val="left"/>
      <w:pPr>
        <w:tabs>
          <w:tab w:val="num" w:pos="4680" w:leader="none"/>
        </w:tabs>
        <w:ind w:left="4320" w:hanging="1440"/>
      </w:pPr>
      <w:rPr>
        <w:rFonts w:hint="default"/>
      </w:rPr>
    </w:lvl>
  </w:abstractNum>
  <w:abstractNum w:abstractNumId="33">
    <w:multiLevelType w:val="hybridMultilevel"/>
    <w:lvl w:ilvl="0">
      <w:start w:val="1"/>
      <w:numFmt w:val="decimal"/>
      <w:isLgl w:val="false"/>
      <w:suff w:val="space"/>
      <w:lvlText w:val="%1."/>
      <w:lvlJc w:val="center"/>
      <w:pPr>
        <w:ind w:left="567" w:firstLine="0"/>
      </w:pPr>
      <w:rPr>
        <w:rFonts w:hint="default"/>
      </w:rPr>
    </w:lvl>
    <w:lvl w:ilvl="1">
      <w:start w:val="1"/>
      <w:numFmt w:val="decimal"/>
      <w:isLgl w:val="false"/>
      <w:suff w:val="space"/>
      <w:lvlText w:val="%1.%2."/>
      <w:lvlJc w:val="left"/>
      <w:pPr>
        <w:ind w:left="0" w:firstLine="0"/>
      </w:pPr>
      <w:rPr>
        <w:rFonts w:hint="default"/>
      </w:rPr>
    </w:lvl>
    <w:lvl w:ilvl="2">
      <w:start w:val="1"/>
      <w:numFmt w:val="decimal"/>
      <w:isLgl w:val="false"/>
      <w:suff w:val="tab"/>
      <w:lvlText w:val="%1.%2.%3."/>
      <w:lvlJc w:val="left"/>
      <w:pPr>
        <w:tabs>
          <w:tab w:val="num" w:pos="0" w:leader="none"/>
        </w:tabs>
        <w:ind w:left="0" w:firstLine="0"/>
      </w:pPr>
      <w:rPr>
        <w:rFonts w:hint="default"/>
      </w:rPr>
    </w:lvl>
    <w:lvl w:ilvl="3">
      <w:start w:val="1"/>
      <w:numFmt w:val="decimal"/>
      <w:isLgl w:val="false"/>
      <w:suff w:val="tab"/>
      <w:lvlText w:val="%1.%2.%3.%4."/>
      <w:lvlJc w:val="left"/>
      <w:pPr>
        <w:tabs>
          <w:tab w:val="num" w:pos="0" w:leader="none"/>
        </w:tabs>
        <w:ind w:left="0" w:firstLine="0"/>
      </w:pPr>
      <w:rPr>
        <w:rFonts w:hint="default"/>
      </w:rPr>
    </w:lvl>
    <w:lvl w:ilvl="4">
      <w:start w:val="1"/>
      <w:numFmt w:val="decimal"/>
      <w:isLgl w:val="false"/>
      <w:suff w:val="tab"/>
      <w:lvlText w:val="%1.%2.%3.%4.%5."/>
      <w:lvlJc w:val="left"/>
      <w:pPr>
        <w:tabs>
          <w:tab w:val="num" w:pos="0" w:leader="none"/>
        </w:tabs>
        <w:ind w:left="0" w:firstLine="0"/>
      </w:pPr>
      <w:rPr>
        <w:rFonts w:hint="default"/>
      </w:rPr>
    </w:lvl>
    <w:lvl w:ilvl="5">
      <w:start w:val="1"/>
      <w:numFmt w:val="decimal"/>
      <w:isLgl w:val="false"/>
      <w:suff w:val="tab"/>
      <w:lvlText w:val="%1.%2.%3.%4.%5.%6."/>
      <w:lvlJc w:val="left"/>
      <w:pPr>
        <w:tabs>
          <w:tab w:val="num" w:pos="2880" w:leader="none"/>
        </w:tabs>
        <w:ind w:left="2736" w:hanging="936"/>
      </w:pPr>
      <w:rPr>
        <w:rFonts w:hint="default"/>
      </w:rPr>
    </w:lvl>
    <w:lvl w:ilvl="6">
      <w:start w:val="1"/>
      <w:numFmt w:val="decimal"/>
      <w:isLgl w:val="false"/>
      <w:suff w:val="tab"/>
      <w:lvlText w:val="%1.%2.%3.%4.%5.%6.%7."/>
      <w:lvlJc w:val="left"/>
      <w:pPr>
        <w:tabs>
          <w:tab w:val="num" w:pos="3600" w:leader="none"/>
        </w:tabs>
        <w:ind w:left="3240" w:hanging="1080"/>
      </w:pPr>
      <w:rPr>
        <w:rFonts w:hint="default"/>
      </w:rPr>
    </w:lvl>
    <w:lvl w:ilvl="7">
      <w:start w:val="1"/>
      <w:numFmt w:val="decimal"/>
      <w:isLgl w:val="false"/>
      <w:suff w:val="tab"/>
      <w:lvlText w:val="%1.%2.%3.%4.%5.%6.%7.%8."/>
      <w:lvlJc w:val="left"/>
      <w:pPr>
        <w:tabs>
          <w:tab w:val="num" w:pos="3960" w:leader="none"/>
        </w:tabs>
        <w:ind w:left="3744" w:hanging="1224"/>
      </w:pPr>
      <w:rPr>
        <w:rFonts w:hint="default"/>
      </w:rPr>
    </w:lvl>
    <w:lvl w:ilvl="8">
      <w:start w:val="1"/>
      <w:numFmt w:val="decimal"/>
      <w:isLgl w:val="false"/>
      <w:suff w:val="tab"/>
      <w:lvlText w:val="%1.%2.%3.%4.%5.%6.%7.%8.%9."/>
      <w:lvlJc w:val="left"/>
      <w:pPr>
        <w:tabs>
          <w:tab w:val="num" w:pos="4680" w:leader="none"/>
        </w:tabs>
        <w:ind w:left="4320" w:hanging="1440"/>
      </w:pPr>
      <w:rPr>
        <w:rFonts w:hint="default"/>
      </w:rPr>
    </w:lvl>
  </w:abstractNum>
  <w:abstractNum w:abstractNumId="34">
    <w:multiLevelType w:val="hybridMultilevel"/>
    <w:lvl w:ilvl="0">
      <w:start w:val="1"/>
      <w:numFmt w:val="bullet"/>
      <w:isLgl w:val="false"/>
      <w:suff w:val="space"/>
      <w:lvlText w:val=""/>
      <w:lvlJc w:val="left"/>
      <w:pPr>
        <w:ind w:left="0" w:firstLine="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35">
    <w:multiLevelType w:val="hybridMultilevel"/>
    <w:lvl w:ilvl="0">
      <w:start w:val="1"/>
      <w:numFmt w:val="decimal"/>
      <w:isLgl w:val="false"/>
      <w:suff w:val="space"/>
      <w:lvlText w:val="%1."/>
      <w:lvlJc w:val="center"/>
      <w:pPr>
        <w:ind w:left="567" w:firstLine="0"/>
      </w:pPr>
      <w:rPr>
        <w:rFonts w:hint="default"/>
      </w:rPr>
    </w:lvl>
    <w:lvl w:ilvl="1">
      <w:start w:val="1"/>
      <w:numFmt w:val="decimal"/>
      <w:isLgl w:val="false"/>
      <w:suff w:val="space"/>
      <w:lvlText w:val="%1.%2."/>
      <w:lvlJc w:val="left"/>
      <w:pPr>
        <w:ind w:left="0" w:firstLine="0"/>
      </w:pPr>
      <w:rPr>
        <w:rFonts w:hint="default"/>
      </w:rPr>
    </w:lvl>
    <w:lvl w:ilvl="2">
      <w:start w:val="1"/>
      <w:numFmt w:val="decimal"/>
      <w:isLgl w:val="false"/>
      <w:suff w:val="tab"/>
      <w:lvlText w:val="%1.%2.%3."/>
      <w:lvlJc w:val="left"/>
      <w:pPr>
        <w:tabs>
          <w:tab w:val="num" w:pos="0" w:leader="none"/>
        </w:tabs>
        <w:ind w:left="0" w:firstLine="0"/>
      </w:pPr>
      <w:rPr>
        <w:rFonts w:hint="default"/>
      </w:rPr>
    </w:lvl>
    <w:lvl w:ilvl="3">
      <w:start w:val="1"/>
      <w:numFmt w:val="decimal"/>
      <w:isLgl w:val="false"/>
      <w:suff w:val="tab"/>
      <w:lvlText w:val="%1.%2.%3.%4."/>
      <w:lvlJc w:val="left"/>
      <w:pPr>
        <w:tabs>
          <w:tab w:val="num" w:pos="0" w:leader="none"/>
        </w:tabs>
        <w:ind w:left="0" w:firstLine="0"/>
      </w:pPr>
      <w:rPr>
        <w:rFonts w:hint="default"/>
      </w:rPr>
    </w:lvl>
    <w:lvl w:ilvl="4">
      <w:start w:val="1"/>
      <w:numFmt w:val="decimal"/>
      <w:isLgl w:val="false"/>
      <w:suff w:val="tab"/>
      <w:lvlText w:val="%1.%2.%3.%4.%5."/>
      <w:lvlJc w:val="left"/>
      <w:pPr>
        <w:tabs>
          <w:tab w:val="num" w:pos="0" w:leader="none"/>
        </w:tabs>
        <w:ind w:left="0" w:firstLine="0"/>
      </w:pPr>
      <w:rPr>
        <w:rFonts w:hint="default"/>
      </w:rPr>
    </w:lvl>
    <w:lvl w:ilvl="5">
      <w:start w:val="1"/>
      <w:numFmt w:val="decimal"/>
      <w:isLgl w:val="false"/>
      <w:suff w:val="tab"/>
      <w:lvlText w:val="%1.%2.%3.%4.%5.%6."/>
      <w:lvlJc w:val="left"/>
      <w:pPr>
        <w:tabs>
          <w:tab w:val="num" w:pos="2880" w:leader="none"/>
        </w:tabs>
        <w:ind w:left="2736" w:hanging="936"/>
      </w:pPr>
      <w:rPr>
        <w:rFonts w:hint="default"/>
      </w:rPr>
    </w:lvl>
    <w:lvl w:ilvl="6">
      <w:start w:val="1"/>
      <w:numFmt w:val="decimal"/>
      <w:isLgl w:val="false"/>
      <w:suff w:val="tab"/>
      <w:lvlText w:val="%1.%2.%3.%4.%5.%6.%7."/>
      <w:lvlJc w:val="left"/>
      <w:pPr>
        <w:tabs>
          <w:tab w:val="num" w:pos="3600" w:leader="none"/>
        </w:tabs>
        <w:ind w:left="3240" w:hanging="1080"/>
      </w:pPr>
      <w:rPr>
        <w:rFonts w:hint="default"/>
      </w:rPr>
    </w:lvl>
    <w:lvl w:ilvl="7">
      <w:start w:val="1"/>
      <w:numFmt w:val="decimal"/>
      <w:isLgl w:val="false"/>
      <w:suff w:val="tab"/>
      <w:lvlText w:val="%1.%2.%3.%4.%5.%6.%7.%8."/>
      <w:lvlJc w:val="left"/>
      <w:pPr>
        <w:tabs>
          <w:tab w:val="num" w:pos="3960" w:leader="none"/>
        </w:tabs>
        <w:ind w:left="3744" w:hanging="1224"/>
      </w:pPr>
      <w:rPr>
        <w:rFonts w:hint="default"/>
      </w:rPr>
    </w:lvl>
    <w:lvl w:ilvl="8">
      <w:start w:val="1"/>
      <w:numFmt w:val="decimal"/>
      <w:isLgl w:val="false"/>
      <w:suff w:val="tab"/>
      <w:lvlText w:val="%1.%2.%3.%4.%5.%6.%7.%8.%9."/>
      <w:lvlJc w:val="left"/>
      <w:pPr>
        <w:tabs>
          <w:tab w:val="num" w:pos="4680" w:leader="none"/>
        </w:tabs>
        <w:ind w:left="4320" w:hanging="1440"/>
      </w:pPr>
      <w:rPr>
        <w:rFonts w:hint="default"/>
      </w:rPr>
    </w:lvl>
  </w:abstractNum>
  <w:abstractNum w:abstractNumId="36">
    <w:multiLevelType w:val="hybridMultilevel"/>
    <w:lvl w:ilvl="0">
      <w:start w:val="1"/>
      <w:numFmt w:val="decimal"/>
      <w:isLgl w:val="false"/>
      <w:suff w:val="space"/>
      <w:lvlText w:val="%1."/>
      <w:lvlJc w:val="center"/>
      <w:pPr>
        <w:ind w:left="567" w:firstLine="0"/>
      </w:pPr>
      <w:rPr>
        <w:rFonts w:hint="default"/>
      </w:rPr>
    </w:lvl>
    <w:lvl w:ilvl="1">
      <w:start w:val="1"/>
      <w:numFmt w:val="decimal"/>
      <w:isLgl w:val="false"/>
      <w:suff w:val="space"/>
      <w:lvlText w:val="%1.%2."/>
      <w:lvlJc w:val="left"/>
      <w:pPr>
        <w:ind w:left="0" w:firstLine="0"/>
      </w:pPr>
      <w:rPr>
        <w:rFonts w:hint="default"/>
      </w:rPr>
    </w:lvl>
    <w:lvl w:ilvl="2">
      <w:start w:val="1"/>
      <w:numFmt w:val="decimal"/>
      <w:isLgl w:val="false"/>
      <w:suff w:val="tab"/>
      <w:lvlText w:val="%1.%2.%3."/>
      <w:lvlJc w:val="left"/>
      <w:pPr>
        <w:tabs>
          <w:tab w:val="num" w:pos="0" w:leader="none"/>
        </w:tabs>
        <w:ind w:left="0" w:firstLine="0"/>
      </w:pPr>
      <w:rPr>
        <w:rFonts w:hint="default"/>
      </w:rPr>
    </w:lvl>
    <w:lvl w:ilvl="3">
      <w:start w:val="1"/>
      <w:numFmt w:val="decimal"/>
      <w:isLgl w:val="false"/>
      <w:suff w:val="tab"/>
      <w:lvlText w:val="%1.%2.%3.%4."/>
      <w:lvlJc w:val="left"/>
      <w:pPr>
        <w:tabs>
          <w:tab w:val="num" w:pos="0" w:leader="none"/>
        </w:tabs>
        <w:ind w:left="0" w:firstLine="0"/>
      </w:pPr>
      <w:rPr>
        <w:rFonts w:hint="default"/>
      </w:rPr>
    </w:lvl>
    <w:lvl w:ilvl="4">
      <w:start w:val="1"/>
      <w:numFmt w:val="decimal"/>
      <w:isLgl w:val="false"/>
      <w:suff w:val="tab"/>
      <w:lvlText w:val="%1.%2.%3.%4.%5."/>
      <w:lvlJc w:val="left"/>
      <w:pPr>
        <w:tabs>
          <w:tab w:val="num" w:pos="0" w:leader="none"/>
        </w:tabs>
        <w:ind w:left="0" w:firstLine="0"/>
      </w:pPr>
      <w:rPr>
        <w:rFonts w:hint="default"/>
      </w:rPr>
    </w:lvl>
    <w:lvl w:ilvl="5">
      <w:start w:val="1"/>
      <w:numFmt w:val="decimal"/>
      <w:isLgl w:val="false"/>
      <w:suff w:val="tab"/>
      <w:lvlText w:val="%1.%2.%3.%4.%5.%6."/>
      <w:lvlJc w:val="left"/>
      <w:pPr>
        <w:tabs>
          <w:tab w:val="num" w:pos="2880" w:leader="none"/>
        </w:tabs>
        <w:ind w:left="2736" w:hanging="936"/>
      </w:pPr>
      <w:rPr>
        <w:rFonts w:hint="default"/>
      </w:rPr>
    </w:lvl>
    <w:lvl w:ilvl="6">
      <w:start w:val="1"/>
      <w:numFmt w:val="decimal"/>
      <w:isLgl w:val="false"/>
      <w:suff w:val="tab"/>
      <w:lvlText w:val="%1.%2.%3.%4.%5.%6.%7."/>
      <w:lvlJc w:val="left"/>
      <w:pPr>
        <w:tabs>
          <w:tab w:val="num" w:pos="3600" w:leader="none"/>
        </w:tabs>
        <w:ind w:left="3240" w:hanging="1080"/>
      </w:pPr>
      <w:rPr>
        <w:rFonts w:hint="default"/>
      </w:rPr>
    </w:lvl>
    <w:lvl w:ilvl="7">
      <w:start w:val="1"/>
      <w:numFmt w:val="decimal"/>
      <w:isLgl w:val="false"/>
      <w:suff w:val="tab"/>
      <w:lvlText w:val="%1.%2.%3.%4.%5.%6.%7.%8."/>
      <w:lvlJc w:val="left"/>
      <w:pPr>
        <w:tabs>
          <w:tab w:val="num" w:pos="3960" w:leader="none"/>
        </w:tabs>
        <w:ind w:left="3744" w:hanging="1224"/>
      </w:pPr>
      <w:rPr>
        <w:rFonts w:hint="default"/>
      </w:rPr>
    </w:lvl>
    <w:lvl w:ilvl="8">
      <w:start w:val="1"/>
      <w:numFmt w:val="decimal"/>
      <w:isLgl w:val="false"/>
      <w:suff w:val="tab"/>
      <w:lvlText w:val="%1.%2.%3.%4.%5.%6.%7.%8.%9."/>
      <w:lvlJc w:val="left"/>
      <w:pPr>
        <w:tabs>
          <w:tab w:val="num" w:pos="4680" w:leader="none"/>
        </w:tabs>
        <w:ind w:left="4320" w:hanging="1440"/>
      </w:pPr>
      <w:rPr>
        <w:rFonts w:hint="default"/>
      </w:rPr>
    </w:lvl>
  </w:abstractNum>
  <w:abstractNum w:abstractNumId="37">
    <w:multiLevelType w:val="hybridMultilevel"/>
    <w:lvl w:ilvl="0">
      <w:start w:val="1"/>
      <w:numFmt w:val="decimal"/>
      <w:isLgl w:val="false"/>
      <w:suff w:val="space"/>
      <w:lvlText w:val="%1."/>
      <w:lvlJc w:val="center"/>
      <w:pPr>
        <w:ind w:left="567" w:firstLine="0"/>
      </w:pPr>
      <w:rPr>
        <w:rFonts w:hint="default"/>
      </w:rPr>
    </w:lvl>
    <w:lvl w:ilvl="1">
      <w:start w:val="1"/>
      <w:numFmt w:val="decimal"/>
      <w:isLgl w:val="false"/>
      <w:suff w:val="space"/>
      <w:lvlText w:val="%1.%2."/>
      <w:lvlJc w:val="left"/>
      <w:pPr>
        <w:ind w:left="0" w:firstLine="0"/>
      </w:pPr>
      <w:rPr>
        <w:rFonts w:hint="default"/>
      </w:rPr>
    </w:lvl>
    <w:lvl w:ilvl="2">
      <w:start w:val="1"/>
      <w:numFmt w:val="decimal"/>
      <w:isLgl w:val="false"/>
      <w:suff w:val="tab"/>
      <w:lvlText w:val="%1.%2.%3."/>
      <w:lvlJc w:val="left"/>
      <w:pPr>
        <w:tabs>
          <w:tab w:val="num" w:pos="0" w:leader="none"/>
        </w:tabs>
        <w:ind w:left="0" w:firstLine="0"/>
      </w:pPr>
      <w:rPr>
        <w:rFonts w:hint="default"/>
      </w:rPr>
    </w:lvl>
    <w:lvl w:ilvl="3">
      <w:start w:val="1"/>
      <w:numFmt w:val="decimal"/>
      <w:isLgl w:val="false"/>
      <w:suff w:val="tab"/>
      <w:lvlText w:val="%1.%2.%3.%4."/>
      <w:lvlJc w:val="left"/>
      <w:pPr>
        <w:tabs>
          <w:tab w:val="num" w:pos="0" w:leader="none"/>
        </w:tabs>
        <w:ind w:left="0" w:firstLine="0"/>
      </w:pPr>
      <w:rPr>
        <w:rFonts w:hint="default"/>
      </w:rPr>
    </w:lvl>
    <w:lvl w:ilvl="4">
      <w:start w:val="1"/>
      <w:numFmt w:val="decimal"/>
      <w:isLgl w:val="false"/>
      <w:suff w:val="tab"/>
      <w:lvlText w:val="%1.%2.%3.%4.%5."/>
      <w:lvlJc w:val="left"/>
      <w:pPr>
        <w:tabs>
          <w:tab w:val="num" w:pos="0" w:leader="none"/>
        </w:tabs>
        <w:ind w:left="0" w:firstLine="0"/>
      </w:pPr>
      <w:rPr>
        <w:rFonts w:hint="default"/>
      </w:rPr>
    </w:lvl>
    <w:lvl w:ilvl="5">
      <w:start w:val="1"/>
      <w:numFmt w:val="decimal"/>
      <w:isLgl w:val="false"/>
      <w:suff w:val="tab"/>
      <w:lvlText w:val="%1.%2.%3.%4.%5.%6."/>
      <w:lvlJc w:val="left"/>
      <w:pPr>
        <w:tabs>
          <w:tab w:val="num" w:pos="2880" w:leader="none"/>
        </w:tabs>
        <w:ind w:left="2736" w:hanging="936"/>
      </w:pPr>
      <w:rPr>
        <w:rFonts w:hint="default"/>
      </w:rPr>
    </w:lvl>
    <w:lvl w:ilvl="6">
      <w:start w:val="1"/>
      <w:numFmt w:val="decimal"/>
      <w:isLgl w:val="false"/>
      <w:suff w:val="tab"/>
      <w:lvlText w:val="%1.%2.%3.%4.%5.%6.%7."/>
      <w:lvlJc w:val="left"/>
      <w:pPr>
        <w:tabs>
          <w:tab w:val="num" w:pos="3600" w:leader="none"/>
        </w:tabs>
        <w:ind w:left="3240" w:hanging="1080"/>
      </w:pPr>
      <w:rPr>
        <w:rFonts w:hint="default"/>
      </w:rPr>
    </w:lvl>
    <w:lvl w:ilvl="7">
      <w:start w:val="1"/>
      <w:numFmt w:val="decimal"/>
      <w:isLgl w:val="false"/>
      <w:suff w:val="tab"/>
      <w:lvlText w:val="%1.%2.%3.%4.%5.%6.%7.%8."/>
      <w:lvlJc w:val="left"/>
      <w:pPr>
        <w:tabs>
          <w:tab w:val="num" w:pos="3960" w:leader="none"/>
        </w:tabs>
        <w:ind w:left="3744" w:hanging="1224"/>
      </w:pPr>
      <w:rPr>
        <w:rFonts w:hint="default"/>
      </w:rPr>
    </w:lvl>
    <w:lvl w:ilvl="8">
      <w:start w:val="1"/>
      <w:numFmt w:val="decimal"/>
      <w:isLgl w:val="false"/>
      <w:suff w:val="tab"/>
      <w:lvlText w:val="%1.%2.%3.%4.%5.%6.%7.%8.%9."/>
      <w:lvlJc w:val="left"/>
      <w:pPr>
        <w:tabs>
          <w:tab w:val="num" w:pos="4680" w:leader="none"/>
        </w:tabs>
        <w:ind w:left="4320" w:hanging="1440"/>
      </w:pPr>
      <w:rPr>
        <w:rFonts w:hint="default"/>
      </w:rPr>
    </w:lvl>
  </w:abstractNum>
  <w:abstractNum w:abstractNumId="38">
    <w:multiLevelType w:val="hybridMultilevel"/>
    <w:lvl w:ilvl="0">
      <w:start w:val="1"/>
      <w:numFmt w:val="decimal"/>
      <w:isLgl w:val="false"/>
      <w:suff w:val="space"/>
      <w:lvlText w:val="%1."/>
      <w:lvlJc w:val="center"/>
      <w:pPr>
        <w:ind w:left="567" w:firstLine="0"/>
      </w:pPr>
      <w:rPr>
        <w:rFonts w:hint="default"/>
      </w:rPr>
    </w:lvl>
    <w:lvl w:ilvl="1">
      <w:start w:val="1"/>
      <w:numFmt w:val="decimal"/>
      <w:isLgl w:val="false"/>
      <w:suff w:val="space"/>
      <w:lvlText w:val="%1.%2."/>
      <w:lvlJc w:val="left"/>
      <w:pPr>
        <w:ind w:left="0" w:firstLine="0"/>
      </w:pPr>
      <w:rPr>
        <w:rFonts w:hint="default"/>
      </w:rPr>
    </w:lvl>
    <w:lvl w:ilvl="2">
      <w:start w:val="1"/>
      <w:numFmt w:val="decimal"/>
      <w:isLgl w:val="false"/>
      <w:suff w:val="tab"/>
      <w:lvlText w:val="%1.%2.%3."/>
      <w:lvlJc w:val="left"/>
      <w:pPr>
        <w:tabs>
          <w:tab w:val="num" w:pos="0" w:leader="none"/>
        </w:tabs>
        <w:ind w:left="0" w:firstLine="0"/>
      </w:pPr>
      <w:rPr>
        <w:rFonts w:hint="default"/>
      </w:rPr>
    </w:lvl>
    <w:lvl w:ilvl="3">
      <w:start w:val="1"/>
      <w:numFmt w:val="decimal"/>
      <w:isLgl w:val="false"/>
      <w:suff w:val="tab"/>
      <w:lvlText w:val="%1.%2.%3.%4."/>
      <w:lvlJc w:val="left"/>
      <w:pPr>
        <w:tabs>
          <w:tab w:val="num" w:pos="0" w:leader="none"/>
        </w:tabs>
        <w:ind w:left="0" w:firstLine="0"/>
      </w:pPr>
      <w:rPr>
        <w:rFonts w:hint="default"/>
      </w:rPr>
    </w:lvl>
    <w:lvl w:ilvl="4">
      <w:start w:val="1"/>
      <w:numFmt w:val="decimal"/>
      <w:isLgl w:val="false"/>
      <w:suff w:val="tab"/>
      <w:lvlText w:val="%1.%2.%3.%4.%5."/>
      <w:lvlJc w:val="left"/>
      <w:pPr>
        <w:tabs>
          <w:tab w:val="num" w:pos="0" w:leader="none"/>
        </w:tabs>
        <w:ind w:left="0" w:firstLine="0"/>
      </w:pPr>
      <w:rPr>
        <w:rFonts w:hint="default"/>
      </w:rPr>
    </w:lvl>
    <w:lvl w:ilvl="5">
      <w:start w:val="1"/>
      <w:numFmt w:val="decimal"/>
      <w:isLgl w:val="false"/>
      <w:suff w:val="tab"/>
      <w:lvlText w:val="%1.%2.%3.%4.%5.%6."/>
      <w:lvlJc w:val="left"/>
      <w:pPr>
        <w:tabs>
          <w:tab w:val="num" w:pos="2880" w:leader="none"/>
        </w:tabs>
        <w:ind w:left="2736" w:hanging="936"/>
      </w:pPr>
      <w:rPr>
        <w:rFonts w:hint="default"/>
      </w:rPr>
    </w:lvl>
    <w:lvl w:ilvl="6">
      <w:start w:val="1"/>
      <w:numFmt w:val="decimal"/>
      <w:isLgl w:val="false"/>
      <w:suff w:val="tab"/>
      <w:lvlText w:val="%1.%2.%3.%4.%5.%6.%7."/>
      <w:lvlJc w:val="left"/>
      <w:pPr>
        <w:tabs>
          <w:tab w:val="num" w:pos="3600" w:leader="none"/>
        </w:tabs>
        <w:ind w:left="3240" w:hanging="1080"/>
      </w:pPr>
      <w:rPr>
        <w:rFonts w:hint="default"/>
      </w:rPr>
    </w:lvl>
    <w:lvl w:ilvl="7">
      <w:start w:val="1"/>
      <w:numFmt w:val="decimal"/>
      <w:isLgl w:val="false"/>
      <w:suff w:val="tab"/>
      <w:lvlText w:val="%1.%2.%3.%4.%5.%6.%7.%8."/>
      <w:lvlJc w:val="left"/>
      <w:pPr>
        <w:tabs>
          <w:tab w:val="num" w:pos="3960" w:leader="none"/>
        </w:tabs>
        <w:ind w:left="3744" w:hanging="1224"/>
      </w:pPr>
      <w:rPr>
        <w:rFonts w:hint="default"/>
      </w:rPr>
    </w:lvl>
    <w:lvl w:ilvl="8">
      <w:start w:val="1"/>
      <w:numFmt w:val="decimal"/>
      <w:isLgl w:val="false"/>
      <w:suff w:val="tab"/>
      <w:lvlText w:val="%1.%2.%3.%4.%5.%6.%7.%8.%9."/>
      <w:lvlJc w:val="left"/>
      <w:pPr>
        <w:tabs>
          <w:tab w:val="num" w:pos="4680" w:leader="none"/>
        </w:tabs>
        <w:ind w:left="4320" w:hanging="1440"/>
      </w:pPr>
      <w:rPr>
        <w:rFonts w:hint="default"/>
      </w:rPr>
    </w:lvl>
  </w:abstractNum>
  <w:abstractNum w:abstractNumId="39">
    <w:multiLevelType w:val="hybridMultilevel"/>
    <w:lvl w:ilvl="0">
      <w:start w:val="1"/>
      <w:numFmt w:val="decimal"/>
      <w:isLgl w:val="false"/>
      <w:suff w:val="space"/>
      <w:lvlText w:val="%1."/>
      <w:lvlJc w:val="center"/>
      <w:pPr>
        <w:ind w:left="567" w:firstLine="0"/>
      </w:pPr>
      <w:rPr>
        <w:rFonts w:hint="default"/>
      </w:rPr>
    </w:lvl>
    <w:lvl w:ilvl="1">
      <w:start w:val="1"/>
      <w:numFmt w:val="decimal"/>
      <w:isLgl w:val="false"/>
      <w:suff w:val="space"/>
      <w:lvlText w:val="%1.%2."/>
      <w:lvlJc w:val="left"/>
      <w:pPr>
        <w:ind w:left="0" w:firstLine="0"/>
      </w:pPr>
      <w:rPr>
        <w:rFonts w:hint="default"/>
      </w:rPr>
    </w:lvl>
    <w:lvl w:ilvl="2">
      <w:start w:val="1"/>
      <w:numFmt w:val="decimal"/>
      <w:isLgl w:val="false"/>
      <w:suff w:val="tab"/>
      <w:lvlText w:val="%1.%2.%3."/>
      <w:lvlJc w:val="left"/>
      <w:pPr>
        <w:tabs>
          <w:tab w:val="num" w:pos="0" w:leader="none"/>
        </w:tabs>
        <w:ind w:left="0" w:firstLine="0"/>
      </w:pPr>
      <w:rPr>
        <w:rFonts w:hint="default"/>
      </w:rPr>
    </w:lvl>
    <w:lvl w:ilvl="3">
      <w:start w:val="1"/>
      <w:numFmt w:val="decimal"/>
      <w:isLgl w:val="false"/>
      <w:suff w:val="tab"/>
      <w:lvlText w:val="%1.%2.%3.%4."/>
      <w:lvlJc w:val="left"/>
      <w:pPr>
        <w:tabs>
          <w:tab w:val="num" w:pos="0" w:leader="none"/>
        </w:tabs>
        <w:ind w:left="0" w:firstLine="0"/>
      </w:pPr>
      <w:rPr>
        <w:rFonts w:hint="default"/>
      </w:rPr>
    </w:lvl>
    <w:lvl w:ilvl="4">
      <w:start w:val="1"/>
      <w:numFmt w:val="decimal"/>
      <w:isLgl w:val="false"/>
      <w:suff w:val="tab"/>
      <w:lvlText w:val="%1.%2.%3.%4.%5."/>
      <w:lvlJc w:val="left"/>
      <w:pPr>
        <w:tabs>
          <w:tab w:val="num" w:pos="0" w:leader="none"/>
        </w:tabs>
        <w:ind w:left="0" w:firstLine="0"/>
      </w:pPr>
      <w:rPr>
        <w:rFonts w:hint="default"/>
      </w:rPr>
    </w:lvl>
    <w:lvl w:ilvl="5">
      <w:start w:val="1"/>
      <w:numFmt w:val="decimal"/>
      <w:isLgl w:val="false"/>
      <w:suff w:val="tab"/>
      <w:lvlText w:val="%1.%2.%3.%4.%5.%6."/>
      <w:lvlJc w:val="left"/>
      <w:pPr>
        <w:tabs>
          <w:tab w:val="num" w:pos="2880" w:leader="none"/>
        </w:tabs>
        <w:ind w:left="2736" w:hanging="936"/>
      </w:pPr>
      <w:rPr>
        <w:rFonts w:hint="default"/>
      </w:rPr>
    </w:lvl>
    <w:lvl w:ilvl="6">
      <w:start w:val="1"/>
      <w:numFmt w:val="decimal"/>
      <w:isLgl w:val="false"/>
      <w:suff w:val="tab"/>
      <w:lvlText w:val="%1.%2.%3.%4.%5.%6.%7."/>
      <w:lvlJc w:val="left"/>
      <w:pPr>
        <w:tabs>
          <w:tab w:val="num" w:pos="3600" w:leader="none"/>
        </w:tabs>
        <w:ind w:left="3240" w:hanging="1080"/>
      </w:pPr>
      <w:rPr>
        <w:rFonts w:hint="default"/>
      </w:rPr>
    </w:lvl>
    <w:lvl w:ilvl="7">
      <w:start w:val="1"/>
      <w:numFmt w:val="decimal"/>
      <w:isLgl w:val="false"/>
      <w:suff w:val="tab"/>
      <w:lvlText w:val="%1.%2.%3.%4.%5.%6.%7.%8."/>
      <w:lvlJc w:val="left"/>
      <w:pPr>
        <w:tabs>
          <w:tab w:val="num" w:pos="3960" w:leader="none"/>
        </w:tabs>
        <w:ind w:left="3744" w:hanging="1224"/>
      </w:pPr>
      <w:rPr>
        <w:rFonts w:hint="default"/>
      </w:rPr>
    </w:lvl>
    <w:lvl w:ilvl="8">
      <w:start w:val="1"/>
      <w:numFmt w:val="decimal"/>
      <w:isLgl w:val="false"/>
      <w:suff w:val="tab"/>
      <w:lvlText w:val="%1.%2.%3.%4.%5.%6.%7.%8.%9."/>
      <w:lvlJc w:val="left"/>
      <w:pPr>
        <w:tabs>
          <w:tab w:val="num" w:pos="4680" w:leader="none"/>
        </w:tabs>
        <w:ind w:left="4320" w:hanging="1440"/>
      </w:pPr>
      <w:rPr>
        <w:rFonts w:hint="default"/>
      </w:rPr>
    </w:lvl>
  </w:abstractNum>
  <w:abstractNum w:abstractNumId="40">
    <w:multiLevelType w:val="hybridMultilevel"/>
    <w:lvl w:ilvl="0">
      <w:start w:val="1"/>
      <w:numFmt w:val="decimal"/>
      <w:isLgl w:val="false"/>
      <w:suff w:val="space"/>
      <w:lvlText w:val="%1."/>
      <w:lvlJc w:val="center"/>
      <w:pPr>
        <w:ind w:left="567" w:firstLine="0"/>
      </w:pPr>
      <w:rPr>
        <w:rFonts w:hint="default"/>
      </w:rPr>
    </w:lvl>
    <w:lvl w:ilvl="1">
      <w:start w:val="1"/>
      <w:numFmt w:val="decimal"/>
      <w:isLgl w:val="false"/>
      <w:suff w:val="space"/>
      <w:lvlText w:val="%1.%2."/>
      <w:lvlJc w:val="left"/>
      <w:pPr>
        <w:ind w:left="0" w:firstLine="0"/>
      </w:pPr>
      <w:rPr>
        <w:rFonts w:hint="default"/>
      </w:rPr>
    </w:lvl>
    <w:lvl w:ilvl="2">
      <w:start w:val="1"/>
      <w:numFmt w:val="decimal"/>
      <w:isLgl w:val="false"/>
      <w:suff w:val="tab"/>
      <w:lvlText w:val="%1.%2.%3."/>
      <w:lvlJc w:val="left"/>
      <w:pPr>
        <w:tabs>
          <w:tab w:val="num" w:pos="0" w:leader="none"/>
        </w:tabs>
        <w:ind w:left="0" w:firstLine="0"/>
      </w:pPr>
      <w:rPr>
        <w:rFonts w:hint="default"/>
      </w:rPr>
    </w:lvl>
    <w:lvl w:ilvl="3">
      <w:start w:val="1"/>
      <w:numFmt w:val="decimal"/>
      <w:isLgl w:val="false"/>
      <w:suff w:val="tab"/>
      <w:lvlText w:val="%1.%2.%3.%4."/>
      <w:lvlJc w:val="left"/>
      <w:pPr>
        <w:tabs>
          <w:tab w:val="num" w:pos="0" w:leader="none"/>
        </w:tabs>
        <w:ind w:left="0" w:firstLine="0"/>
      </w:pPr>
      <w:rPr>
        <w:rFonts w:hint="default"/>
      </w:rPr>
    </w:lvl>
    <w:lvl w:ilvl="4">
      <w:start w:val="1"/>
      <w:numFmt w:val="decimal"/>
      <w:isLgl w:val="false"/>
      <w:suff w:val="tab"/>
      <w:lvlText w:val="%1.%2.%3.%4.%5."/>
      <w:lvlJc w:val="left"/>
      <w:pPr>
        <w:tabs>
          <w:tab w:val="num" w:pos="0" w:leader="none"/>
        </w:tabs>
        <w:ind w:left="0" w:firstLine="0"/>
      </w:pPr>
      <w:rPr>
        <w:rFonts w:hint="default"/>
      </w:rPr>
    </w:lvl>
    <w:lvl w:ilvl="5">
      <w:start w:val="1"/>
      <w:numFmt w:val="decimal"/>
      <w:isLgl w:val="false"/>
      <w:suff w:val="tab"/>
      <w:lvlText w:val="%1.%2.%3.%4.%5.%6."/>
      <w:lvlJc w:val="left"/>
      <w:pPr>
        <w:tabs>
          <w:tab w:val="num" w:pos="2880" w:leader="none"/>
        </w:tabs>
        <w:ind w:left="2736" w:hanging="936"/>
      </w:pPr>
      <w:rPr>
        <w:rFonts w:hint="default"/>
      </w:rPr>
    </w:lvl>
    <w:lvl w:ilvl="6">
      <w:start w:val="1"/>
      <w:numFmt w:val="decimal"/>
      <w:isLgl w:val="false"/>
      <w:suff w:val="tab"/>
      <w:lvlText w:val="%1.%2.%3.%4.%5.%6.%7."/>
      <w:lvlJc w:val="left"/>
      <w:pPr>
        <w:tabs>
          <w:tab w:val="num" w:pos="3600" w:leader="none"/>
        </w:tabs>
        <w:ind w:left="3240" w:hanging="1080"/>
      </w:pPr>
      <w:rPr>
        <w:rFonts w:hint="default"/>
      </w:rPr>
    </w:lvl>
    <w:lvl w:ilvl="7">
      <w:start w:val="1"/>
      <w:numFmt w:val="decimal"/>
      <w:isLgl w:val="false"/>
      <w:suff w:val="tab"/>
      <w:lvlText w:val="%1.%2.%3.%4.%5.%6.%7.%8."/>
      <w:lvlJc w:val="left"/>
      <w:pPr>
        <w:tabs>
          <w:tab w:val="num" w:pos="3960" w:leader="none"/>
        </w:tabs>
        <w:ind w:left="3744" w:hanging="1224"/>
      </w:pPr>
      <w:rPr>
        <w:rFonts w:hint="default"/>
      </w:rPr>
    </w:lvl>
    <w:lvl w:ilvl="8">
      <w:start w:val="1"/>
      <w:numFmt w:val="decimal"/>
      <w:isLgl w:val="false"/>
      <w:suff w:val="tab"/>
      <w:lvlText w:val="%1.%2.%3.%4.%5.%6.%7.%8.%9."/>
      <w:lvlJc w:val="left"/>
      <w:pPr>
        <w:tabs>
          <w:tab w:val="num" w:pos="4680" w:leader="none"/>
        </w:tabs>
        <w:ind w:left="4320" w:hanging="1440"/>
      </w:pPr>
      <w:rPr>
        <w:rFonts w:hint="default"/>
      </w:rPr>
    </w:lvl>
  </w:abstractNum>
  <w:num w:numId="1">
    <w:abstractNumId w:val="11"/>
  </w:num>
  <w:num w:numId="2">
    <w:abstractNumId w:val="12"/>
  </w:num>
  <w:num w:numId="3">
    <w:abstractNumId w:val="6"/>
  </w:num>
  <w:num w:numId="4">
    <w:abstractNumId w:val="1"/>
  </w:num>
  <w:num w:numId="5">
    <w:abstractNumId w:val="9"/>
  </w:num>
  <w:num w:numId="6">
    <w:abstractNumId w:val="2"/>
  </w:num>
  <w:num w:numId="7">
    <w:abstractNumId w:val="10"/>
  </w:num>
  <w:num w:numId="8">
    <w:abstractNumId w:val="8"/>
  </w:num>
  <w:num w:numId="9">
    <w:abstractNumId w:val="4"/>
  </w:num>
  <w:num w:numId="10">
    <w:abstractNumId w:val="16"/>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5"/>
  </w:num>
  <w:num w:numId="14">
    <w:abstractNumId w:val="7"/>
  </w:num>
  <w:num w:numId="15">
    <w:abstractNumId w:val="13"/>
  </w:num>
  <w:num w:numId="16">
    <w:abstractNumId w:val="17"/>
  </w:num>
  <w:num w:numId="17">
    <w:abstractNumId w:val="3"/>
  </w:num>
  <w:num w:numId="18">
    <w:abstractNumId w:val="5"/>
  </w:num>
  <w:num w:numId="19">
    <w:abstractNumId w:val="0"/>
  </w:num>
  <w:num w:numId="20">
    <w:abstractNumId w:val="18"/>
  </w:num>
  <w:num w:numId="21">
    <w:abstractNumId w:val="19"/>
  </w:num>
  <w:num w:numId="22">
    <w:abstractNumId w:val="20"/>
  </w:num>
  <w:num w:numId="23">
    <w:abstractNumId w:val="21"/>
  </w:num>
  <w:num w:numId="24">
    <w:abstractNumId w:val="22"/>
  </w:num>
  <w:num w:numId="25">
    <w:abstractNumId w:val="23"/>
  </w:num>
  <w:num w:numId="26">
    <w:abstractNumId w:val="24"/>
  </w:num>
  <w:num w:numId="27">
    <w:abstractNumId w:val="25"/>
  </w:num>
  <w:num w:numId="28">
    <w:abstractNumId w:val="26"/>
  </w:num>
  <w:num w:numId="29">
    <w:abstractNumId w:val="27"/>
  </w:num>
  <w:num w:numId="30">
    <w:abstractNumId w:val="28"/>
  </w:num>
  <w:num w:numId="31">
    <w:abstractNumId w:val="29"/>
  </w:num>
  <w:num w:numId="32">
    <w:abstractNumId w:val="30"/>
  </w:num>
  <w:num w:numId="33">
    <w:abstractNumId w:val="31"/>
  </w:num>
  <w:num w:numId="34">
    <w:abstractNumId w:val="32"/>
  </w:num>
  <w:num w:numId="35">
    <w:abstractNumId w:val="33"/>
  </w:num>
  <w:num w:numId="36">
    <w:abstractNumId w:val="34"/>
  </w:num>
  <w:num w:numId="37">
    <w:abstractNumId w:val="35"/>
  </w:num>
  <w:num w:numId="38">
    <w:abstractNumId w:val="36"/>
  </w:num>
  <w:num w:numId="39">
    <w:abstractNumId w:val="37"/>
  </w:num>
  <w:num w:numId="40">
    <w:abstractNumId w:val="38"/>
  </w:num>
  <w:num w:numId="41">
    <w:abstractNumId w:val="39"/>
  </w:num>
  <w:num w:numId="42">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ru-RU" w:eastAsia="en-US" w:bidi="ar-SA"/>
      </w:rPr>
    </w:rPrDefault>
    <w:pPrDefault>
      <w:pPr>
        <w:spacing w:before="0" w:beforeAutospacing="0" w:after="160" w:afterAutospacing="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737">
    <w:name w:val="Heading 1"/>
    <w:basedOn w:val="909"/>
    <w:next w:val="909"/>
    <w:link w:val="738"/>
    <w:uiPriority w:val="9"/>
    <w:qFormat/>
    <w:pPr>
      <w:keepNext/>
      <w:keepLines/>
      <w:spacing w:before="480" w:after="200"/>
      <w:outlineLvl w:val="0"/>
    </w:pPr>
    <w:rPr>
      <w:rFonts w:ascii="Arial" w:hAnsi="Arial" w:eastAsia="Arial" w:cs="Arial"/>
      <w:sz w:val="40"/>
      <w:szCs w:val="40"/>
    </w:rPr>
  </w:style>
  <w:style w:type="character" w:styleId="738">
    <w:name w:val="Heading 1 Char"/>
    <w:basedOn w:val="912"/>
    <w:link w:val="737"/>
    <w:uiPriority w:val="9"/>
    <w:rPr>
      <w:rFonts w:ascii="Arial" w:hAnsi="Arial" w:eastAsia="Arial" w:cs="Arial"/>
      <w:sz w:val="40"/>
      <w:szCs w:val="40"/>
    </w:rPr>
  </w:style>
  <w:style w:type="paragraph" w:styleId="739">
    <w:name w:val="Heading 2"/>
    <w:basedOn w:val="909"/>
    <w:next w:val="909"/>
    <w:link w:val="740"/>
    <w:uiPriority w:val="9"/>
    <w:unhideWhenUsed/>
    <w:qFormat/>
    <w:pPr>
      <w:keepNext/>
      <w:keepLines/>
      <w:spacing w:before="360" w:after="200"/>
      <w:outlineLvl w:val="1"/>
    </w:pPr>
    <w:rPr>
      <w:rFonts w:ascii="Arial" w:hAnsi="Arial" w:eastAsia="Arial" w:cs="Arial"/>
      <w:sz w:val="34"/>
    </w:rPr>
  </w:style>
  <w:style w:type="character" w:styleId="740">
    <w:name w:val="Heading 2 Char"/>
    <w:basedOn w:val="912"/>
    <w:link w:val="739"/>
    <w:uiPriority w:val="9"/>
    <w:rPr>
      <w:rFonts w:ascii="Arial" w:hAnsi="Arial" w:eastAsia="Arial" w:cs="Arial"/>
      <w:sz w:val="34"/>
    </w:rPr>
  </w:style>
  <w:style w:type="character" w:styleId="741">
    <w:name w:val="Heading 3 Char"/>
    <w:basedOn w:val="912"/>
    <w:link w:val="910"/>
    <w:uiPriority w:val="9"/>
    <w:rPr>
      <w:rFonts w:ascii="Arial" w:hAnsi="Arial" w:eastAsia="Arial" w:cs="Arial"/>
      <w:sz w:val="30"/>
      <w:szCs w:val="30"/>
    </w:rPr>
  </w:style>
  <w:style w:type="character" w:styleId="742">
    <w:name w:val="Heading 4 Char"/>
    <w:basedOn w:val="912"/>
    <w:link w:val="911"/>
    <w:uiPriority w:val="9"/>
    <w:rPr>
      <w:rFonts w:ascii="Arial" w:hAnsi="Arial" w:eastAsia="Arial" w:cs="Arial"/>
      <w:b/>
      <w:bCs/>
      <w:sz w:val="26"/>
      <w:szCs w:val="26"/>
    </w:rPr>
  </w:style>
  <w:style w:type="paragraph" w:styleId="743">
    <w:name w:val="Heading 5"/>
    <w:basedOn w:val="909"/>
    <w:next w:val="909"/>
    <w:link w:val="744"/>
    <w:uiPriority w:val="9"/>
    <w:unhideWhenUsed/>
    <w:qFormat/>
    <w:pPr>
      <w:keepNext/>
      <w:keepLines/>
      <w:spacing w:before="320" w:after="200"/>
      <w:outlineLvl w:val="4"/>
    </w:pPr>
    <w:rPr>
      <w:rFonts w:ascii="Arial" w:hAnsi="Arial" w:eastAsia="Arial" w:cs="Arial"/>
      <w:b/>
      <w:bCs/>
      <w:sz w:val="24"/>
      <w:szCs w:val="24"/>
    </w:rPr>
  </w:style>
  <w:style w:type="character" w:styleId="744">
    <w:name w:val="Heading 5 Char"/>
    <w:basedOn w:val="912"/>
    <w:link w:val="743"/>
    <w:uiPriority w:val="9"/>
    <w:rPr>
      <w:rFonts w:ascii="Arial" w:hAnsi="Arial" w:eastAsia="Arial" w:cs="Arial"/>
      <w:b/>
      <w:bCs/>
      <w:sz w:val="24"/>
      <w:szCs w:val="24"/>
    </w:rPr>
  </w:style>
  <w:style w:type="paragraph" w:styleId="745">
    <w:name w:val="Heading 6"/>
    <w:basedOn w:val="909"/>
    <w:next w:val="909"/>
    <w:link w:val="746"/>
    <w:uiPriority w:val="9"/>
    <w:unhideWhenUsed/>
    <w:qFormat/>
    <w:pPr>
      <w:keepNext/>
      <w:keepLines/>
      <w:spacing w:before="320" w:after="200"/>
      <w:outlineLvl w:val="5"/>
    </w:pPr>
    <w:rPr>
      <w:rFonts w:ascii="Arial" w:hAnsi="Arial" w:eastAsia="Arial" w:cs="Arial"/>
      <w:b/>
      <w:bCs/>
      <w:sz w:val="22"/>
      <w:szCs w:val="22"/>
    </w:rPr>
  </w:style>
  <w:style w:type="character" w:styleId="746">
    <w:name w:val="Heading 6 Char"/>
    <w:basedOn w:val="912"/>
    <w:link w:val="745"/>
    <w:uiPriority w:val="9"/>
    <w:rPr>
      <w:rFonts w:ascii="Arial" w:hAnsi="Arial" w:eastAsia="Arial" w:cs="Arial"/>
      <w:b/>
      <w:bCs/>
      <w:sz w:val="22"/>
      <w:szCs w:val="22"/>
    </w:rPr>
  </w:style>
  <w:style w:type="paragraph" w:styleId="747">
    <w:name w:val="Heading 7"/>
    <w:basedOn w:val="909"/>
    <w:next w:val="909"/>
    <w:link w:val="748"/>
    <w:uiPriority w:val="9"/>
    <w:unhideWhenUsed/>
    <w:qFormat/>
    <w:pPr>
      <w:keepNext/>
      <w:keepLines/>
      <w:spacing w:before="320" w:after="200"/>
      <w:outlineLvl w:val="6"/>
    </w:pPr>
    <w:rPr>
      <w:rFonts w:ascii="Arial" w:hAnsi="Arial" w:eastAsia="Arial" w:cs="Arial"/>
      <w:b/>
      <w:bCs/>
      <w:i/>
      <w:iCs/>
      <w:sz w:val="22"/>
      <w:szCs w:val="22"/>
    </w:rPr>
  </w:style>
  <w:style w:type="character" w:styleId="748">
    <w:name w:val="Heading 7 Char"/>
    <w:basedOn w:val="912"/>
    <w:link w:val="747"/>
    <w:uiPriority w:val="9"/>
    <w:rPr>
      <w:rFonts w:ascii="Arial" w:hAnsi="Arial" w:eastAsia="Arial" w:cs="Arial"/>
      <w:b/>
      <w:bCs/>
      <w:i/>
      <w:iCs/>
      <w:sz w:val="22"/>
      <w:szCs w:val="22"/>
    </w:rPr>
  </w:style>
  <w:style w:type="paragraph" w:styleId="749">
    <w:name w:val="Heading 8"/>
    <w:basedOn w:val="909"/>
    <w:next w:val="909"/>
    <w:link w:val="750"/>
    <w:uiPriority w:val="9"/>
    <w:unhideWhenUsed/>
    <w:qFormat/>
    <w:pPr>
      <w:keepNext/>
      <w:keepLines/>
      <w:spacing w:before="320" w:after="200"/>
      <w:outlineLvl w:val="7"/>
    </w:pPr>
    <w:rPr>
      <w:rFonts w:ascii="Arial" w:hAnsi="Arial" w:eastAsia="Arial" w:cs="Arial"/>
      <w:i/>
      <w:iCs/>
      <w:sz w:val="22"/>
      <w:szCs w:val="22"/>
    </w:rPr>
  </w:style>
  <w:style w:type="character" w:styleId="750">
    <w:name w:val="Heading 8 Char"/>
    <w:basedOn w:val="912"/>
    <w:link w:val="749"/>
    <w:uiPriority w:val="9"/>
    <w:rPr>
      <w:rFonts w:ascii="Arial" w:hAnsi="Arial" w:eastAsia="Arial" w:cs="Arial"/>
      <w:i/>
      <w:iCs/>
      <w:sz w:val="22"/>
      <w:szCs w:val="22"/>
    </w:rPr>
  </w:style>
  <w:style w:type="paragraph" w:styleId="751">
    <w:name w:val="Heading 9"/>
    <w:basedOn w:val="909"/>
    <w:next w:val="909"/>
    <w:link w:val="752"/>
    <w:uiPriority w:val="9"/>
    <w:unhideWhenUsed/>
    <w:qFormat/>
    <w:pPr>
      <w:keepNext/>
      <w:keepLines/>
      <w:spacing w:before="320" w:after="200"/>
      <w:outlineLvl w:val="8"/>
    </w:pPr>
    <w:rPr>
      <w:rFonts w:ascii="Arial" w:hAnsi="Arial" w:eastAsia="Arial" w:cs="Arial"/>
      <w:i/>
      <w:iCs/>
      <w:sz w:val="21"/>
      <w:szCs w:val="21"/>
    </w:rPr>
  </w:style>
  <w:style w:type="character" w:styleId="752">
    <w:name w:val="Heading 9 Char"/>
    <w:basedOn w:val="912"/>
    <w:link w:val="751"/>
    <w:uiPriority w:val="9"/>
    <w:rPr>
      <w:rFonts w:ascii="Arial" w:hAnsi="Arial" w:eastAsia="Arial" w:cs="Arial"/>
      <w:i/>
      <w:iCs/>
      <w:sz w:val="21"/>
      <w:szCs w:val="21"/>
    </w:rPr>
  </w:style>
  <w:style w:type="paragraph" w:styleId="753">
    <w:name w:val="No Spacing"/>
    <w:uiPriority w:val="1"/>
    <w:qFormat/>
    <w:pPr>
      <w:spacing w:before="0" w:after="0" w:line="240" w:lineRule="auto"/>
    </w:pPr>
  </w:style>
  <w:style w:type="paragraph" w:styleId="754">
    <w:name w:val="Title"/>
    <w:basedOn w:val="909"/>
    <w:next w:val="909"/>
    <w:link w:val="755"/>
    <w:uiPriority w:val="10"/>
    <w:qFormat/>
    <w:pPr>
      <w:spacing w:before="300" w:after="200"/>
      <w:contextualSpacing/>
    </w:pPr>
    <w:rPr>
      <w:sz w:val="48"/>
      <w:szCs w:val="48"/>
    </w:rPr>
  </w:style>
  <w:style w:type="character" w:styleId="755">
    <w:name w:val="Title Char"/>
    <w:basedOn w:val="912"/>
    <w:link w:val="754"/>
    <w:uiPriority w:val="10"/>
    <w:rPr>
      <w:sz w:val="48"/>
      <w:szCs w:val="48"/>
    </w:rPr>
  </w:style>
  <w:style w:type="paragraph" w:styleId="756">
    <w:name w:val="Subtitle"/>
    <w:basedOn w:val="909"/>
    <w:next w:val="909"/>
    <w:link w:val="757"/>
    <w:uiPriority w:val="11"/>
    <w:qFormat/>
    <w:pPr>
      <w:spacing w:before="200" w:after="200"/>
    </w:pPr>
    <w:rPr>
      <w:sz w:val="24"/>
      <w:szCs w:val="24"/>
    </w:rPr>
  </w:style>
  <w:style w:type="character" w:styleId="757">
    <w:name w:val="Subtitle Char"/>
    <w:basedOn w:val="912"/>
    <w:link w:val="756"/>
    <w:uiPriority w:val="11"/>
    <w:rPr>
      <w:sz w:val="24"/>
      <w:szCs w:val="24"/>
    </w:rPr>
  </w:style>
  <w:style w:type="paragraph" w:styleId="758">
    <w:name w:val="Quote"/>
    <w:basedOn w:val="909"/>
    <w:next w:val="909"/>
    <w:link w:val="759"/>
    <w:uiPriority w:val="29"/>
    <w:qFormat/>
    <w:pPr>
      <w:ind w:left="720" w:right="720"/>
    </w:pPr>
    <w:rPr>
      <w:i/>
    </w:rPr>
  </w:style>
  <w:style w:type="character" w:styleId="759">
    <w:name w:val="Quote Char"/>
    <w:link w:val="758"/>
    <w:uiPriority w:val="29"/>
    <w:rPr>
      <w:i/>
    </w:rPr>
  </w:style>
  <w:style w:type="paragraph" w:styleId="760">
    <w:name w:val="Intense Quote"/>
    <w:basedOn w:val="909"/>
    <w:next w:val="909"/>
    <w:link w:val="761"/>
    <w:uiPriority w:val="30"/>
    <w:qFormat/>
    <w:pPr>
      <w:pBdr>
        <w:top w:val="single" w:color="FFFFFF" w:sz="4" w:space="5"/>
        <w:left w:val="single" w:color="FFFFFF" w:sz="4" w:space="10"/>
        <w:bottom w:val="single" w:color="FFFFFF" w:sz="4" w:space="5"/>
        <w:right w:val="single" w:color="FFFFFF" w:sz="4" w:space="10"/>
      </w:pBdr>
      <w:shd w:val="clear" w:color="auto" w:fill="f2f2f2"/>
      <w:ind w:left="720" w:right="720"/>
      <w:contextualSpacing w:val="0"/>
    </w:pPr>
    <w:rPr>
      <w:i/>
    </w:rPr>
  </w:style>
  <w:style w:type="character" w:styleId="761">
    <w:name w:val="Intense Quote Char"/>
    <w:link w:val="760"/>
    <w:uiPriority w:val="30"/>
    <w:rPr>
      <w:i/>
    </w:rPr>
  </w:style>
  <w:style w:type="character" w:styleId="762">
    <w:name w:val="Header Char"/>
    <w:basedOn w:val="912"/>
    <w:link w:val="921"/>
    <w:uiPriority w:val="99"/>
  </w:style>
  <w:style w:type="character" w:styleId="763">
    <w:name w:val="Footer Char"/>
    <w:basedOn w:val="912"/>
    <w:link w:val="934"/>
    <w:uiPriority w:val="99"/>
  </w:style>
  <w:style w:type="paragraph" w:styleId="764">
    <w:name w:val="Caption"/>
    <w:basedOn w:val="909"/>
    <w:next w:val="909"/>
    <w:link w:val="765"/>
    <w:uiPriority w:val="35"/>
    <w:semiHidden/>
    <w:unhideWhenUsed/>
    <w:qFormat/>
    <w:pPr>
      <w:spacing w:line="276" w:lineRule="auto"/>
    </w:pPr>
    <w:rPr>
      <w:b/>
      <w:bCs/>
      <w:color w:val="4f81bd" w:themeColor="accent1"/>
      <w:sz w:val="18"/>
      <w:szCs w:val="18"/>
    </w:rPr>
  </w:style>
  <w:style w:type="character" w:styleId="765">
    <w:name w:val="Caption Char"/>
    <w:basedOn w:val="912"/>
    <w:link w:val="764"/>
    <w:uiPriority w:val="35"/>
    <w:rPr>
      <w:b/>
      <w:bCs/>
      <w:color w:val="4f81bd" w:themeColor="accent1"/>
      <w:sz w:val="18"/>
      <w:szCs w:val="18"/>
    </w:rPr>
  </w:style>
  <w:style w:type="table" w:styleId="766">
    <w:name w:val="Table Grid Light"/>
    <w:basedOn w:val="913"/>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767">
    <w:name w:val="Plain Table 1"/>
    <w:basedOn w:val="913"/>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68">
    <w:name w:val="Plain Table 2"/>
    <w:basedOn w:val="913"/>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69">
    <w:name w:val="Plain Table 3"/>
    <w:basedOn w:val="913"/>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70">
    <w:name w:val="Plain Table 4"/>
    <w:basedOn w:val="913"/>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71">
    <w:name w:val="Plain Table 5"/>
    <w:basedOn w:val="913"/>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tcBorders>
          <w:right w:val="single" w:color="404040" w:sz="4" w:space="0"/>
        </w:tcBorders>
        <w:shd w:val="clear" w:color="ffffff"/>
      </w:tcPr>
    </w:tblStylePr>
    <w:tblStylePr w:type="firstRow">
      <w:rPr>
        <w:i/>
        <w:color w:val="404040"/>
      </w:rPr>
      <w:tcPr>
        <w:tcBorders>
          <w:left w:val="none" w:color="000000" w:sz="4" w:space="0"/>
          <w:bottom w:val="single" w:color="404040" w:sz="4" w:space="0"/>
          <w:right w:val="none" w:color="000000" w:sz="4" w:space="0"/>
        </w:tcBorders>
        <w:shd w:val="clear" w:color="ffffff"/>
      </w:tcPr>
    </w:tblStylePr>
    <w:tblStylePr w:type="lastCol">
      <w:rPr>
        <w:i/>
        <w:color w:val="404040"/>
      </w:rPr>
      <w:tcPr>
        <w:tcBorders>
          <w:left w:val="single" w:color="404040" w:sz="4" w:space="0"/>
        </w:tcBorders>
        <w:shd w:val="clear" w:color="ffffff"/>
      </w:tcPr>
    </w:tblStylePr>
    <w:tblStylePr w:type="lastRow">
      <w:rPr>
        <w:i/>
        <w:color w:val="404040"/>
      </w:rPr>
      <w:tcPr>
        <w:tcBorders>
          <w:top w:val="single" w:color="404040" w:sz="4" w:space="0"/>
          <w:left w:val="none" w:color="000000" w:sz="4" w:space="0"/>
          <w:right w:val="none" w:color="000000" w:sz="4" w:space="0"/>
        </w:tcBorders>
        <w:shd w:val="clear" w:color="ffffff"/>
      </w:tcPr>
    </w:tblStylePr>
  </w:style>
  <w:style w:type="table" w:styleId="772">
    <w:name w:val="Grid Table 1 Light"/>
    <w:basedOn w:val="913"/>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773">
    <w:name w:val="Grid Table 1 Light - Accent 1"/>
    <w:basedOn w:val="913"/>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774">
    <w:name w:val="Grid Table 1 Light - Accent 2"/>
    <w:basedOn w:val="913"/>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775">
    <w:name w:val="Grid Table 1 Light - Accent 3"/>
    <w:basedOn w:val="91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776">
    <w:name w:val="Grid Table 1 Light - Accent 4"/>
    <w:basedOn w:val="913"/>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777">
    <w:name w:val="Grid Table 1 Light - Accent 5"/>
    <w:basedOn w:val="913"/>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778">
    <w:name w:val="Grid Table 1 Light - Accent 6"/>
    <w:basedOn w:val="913"/>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779">
    <w:name w:val="Grid Table 2"/>
    <w:basedOn w:val="913"/>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themeTint="95" w:sz="12" w:space="0"/>
          <w:right w:val="none" w:color="000000" w:sz="4" w:space="0"/>
        </w:tcBorders>
        <w:shd w:val="clear" w:color="ffffff"/>
      </w:tcPr>
    </w:tblStylePr>
    <w:tblStylePr w:type="lastCol">
      <w:rPr>
        <w:b/>
        <w:color w:val="404040"/>
      </w:rPr>
    </w:tblStylePr>
    <w:tblStylePr w:type="lastRow">
      <w:rPr>
        <w:b/>
        <w:color w:val="404040"/>
      </w:rPr>
      <w:tcPr>
        <w:tcBorders>
          <w:top w:val="single" w:color="000000" w:themeColor="text1" w:themeTint="95" w:sz="4" w:space="0"/>
          <w:left w:val="none" w:color="000000" w:sz="4" w:space="0"/>
          <w:bottom w:val="none" w:color="000000" w:sz="4" w:space="0"/>
          <w:right w:val="none" w:color="000000" w:sz="4" w:space="0"/>
        </w:tcBorders>
        <w:shd w:val="clear" w:color="ffffff"/>
      </w:tcPr>
    </w:tblStylePr>
  </w:style>
  <w:style w:type="table" w:styleId="780">
    <w:name w:val="Grid Table 2 - Accent 1"/>
    <w:basedOn w:val="913"/>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debf6" w:themeFill="accent1" w:themeFillTint="34"/>
      </w:tcPr>
    </w:tblStylePr>
    <w:tblStylePr w:type="band1Vert">
      <w:rPr>
        <w:rFonts w:ascii="Arial" w:hAnsi="Arial"/>
        <w:color w:val="404040"/>
        <w:sz w:val="22"/>
      </w:rPr>
      <w:tcPr>
        <w:shd w:val="clear" w:color="ffffff" w:themeColor="accent1" w:themeTint="34" w:fill="ddebf6" w:themeFill="accent1" w:themeFillTint="34"/>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themeTint="EA" w:sz="12" w:space="0"/>
          <w:right w:val="none" w:color="000000" w:sz="4" w:space="0"/>
        </w:tcBorders>
        <w:shd w:val="clear" w:color="ffffff"/>
      </w:tcPr>
    </w:tblStylePr>
    <w:tblStylePr w:type="lastCol">
      <w:rPr>
        <w:b/>
        <w:color w:val="404040"/>
      </w:rPr>
    </w:tblStylePr>
    <w:tblStylePr w:type="lastRow">
      <w:rPr>
        <w:b/>
        <w:color w:val="404040"/>
      </w:rPr>
      <w:tcPr>
        <w:tcBorders>
          <w:top w:val="single" w:color="000000" w:themeColor="accent1" w:themeTint="EA" w:sz="4" w:space="0"/>
          <w:left w:val="none" w:color="000000" w:sz="4" w:space="0"/>
          <w:bottom w:val="none" w:color="000000" w:sz="4" w:space="0"/>
          <w:right w:val="none" w:color="000000" w:sz="4" w:space="0"/>
        </w:tcBorders>
        <w:shd w:val="clear" w:color="ffffff"/>
      </w:tcPr>
    </w:tblStylePr>
  </w:style>
  <w:style w:type="table" w:styleId="781">
    <w:name w:val="Grid Table 2 - Accent 2"/>
    <w:basedOn w:val="913"/>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themeTint="97" w:sz="12" w:space="0"/>
          <w:right w:val="none" w:color="000000" w:sz="4" w:space="0"/>
        </w:tcBorders>
        <w:shd w:val="clear" w:color="ffffff"/>
      </w:tcPr>
    </w:tblStylePr>
    <w:tblStylePr w:type="lastCol">
      <w:rPr>
        <w:b/>
        <w:color w:val="404040"/>
      </w:rPr>
    </w:tblStylePr>
    <w:tblStylePr w:type="lastRow">
      <w:rPr>
        <w:b/>
        <w:color w:val="404040"/>
      </w:rPr>
      <w:tcPr>
        <w:tcBorders>
          <w:top w:val="single" w:color="000000" w:themeColor="accent2" w:themeTint="97" w:sz="4" w:space="0"/>
          <w:left w:val="none" w:color="000000" w:sz="4" w:space="0"/>
          <w:bottom w:val="none" w:color="000000" w:sz="4" w:space="0"/>
          <w:right w:val="none" w:color="000000" w:sz="4" w:space="0"/>
        </w:tcBorders>
        <w:shd w:val="clear" w:color="ffffff"/>
      </w:tcPr>
    </w:tblStylePr>
  </w:style>
  <w:style w:type="table" w:styleId="782">
    <w:name w:val="Grid Table 2 - Accent 3"/>
    <w:basedOn w:val="91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themeTint="FE" w:sz="12" w:space="0"/>
          <w:right w:val="none" w:color="000000" w:sz="4" w:space="0"/>
        </w:tcBorders>
        <w:shd w:val="clear" w:color="ffffff"/>
      </w:tcPr>
    </w:tblStylePr>
    <w:tblStylePr w:type="lastCol">
      <w:rPr>
        <w:b/>
        <w:color w:val="404040"/>
      </w:rPr>
    </w:tblStylePr>
    <w:tblStylePr w:type="lastRow">
      <w:rPr>
        <w:b/>
        <w:color w:val="404040"/>
      </w:rPr>
      <w:tcPr>
        <w:tcBorders>
          <w:top w:val="single" w:color="000000" w:themeColor="accent3" w:themeTint="FE" w:sz="4" w:space="0"/>
          <w:left w:val="none" w:color="000000" w:sz="4" w:space="0"/>
          <w:bottom w:val="none" w:color="000000" w:sz="4" w:space="0"/>
          <w:right w:val="none" w:color="000000" w:sz="4" w:space="0"/>
        </w:tcBorders>
        <w:shd w:val="clear" w:color="ffffff"/>
      </w:tcPr>
    </w:tblStylePr>
  </w:style>
  <w:style w:type="table" w:styleId="783">
    <w:name w:val="Grid Table 2 - Accent 4"/>
    <w:basedOn w:val="913"/>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themeTint="9A" w:sz="12" w:space="0"/>
          <w:right w:val="none" w:color="000000" w:sz="4" w:space="0"/>
        </w:tcBorders>
        <w:shd w:val="clear" w:color="ffffff"/>
      </w:tcPr>
    </w:tblStylePr>
    <w:tblStylePr w:type="lastCol">
      <w:rPr>
        <w:b/>
        <w:color w:val="404040"/>
      </w:rPr>
    </w:tblStylePr>
    <w:tblStylePr w:type="lastRow">
      <w:rPr>
        <w:b/>
        <w:color w:val="404040"/>
      </w:rPr>
      <w:tcPr>
        <w:tcBorders>
          <w:top w:val="single" w:color="000000" w:themeColor="accent4" w:themeTint="9A" w:sz="4" w:space="0"/>
          <w:left w:val="none" w:color="000000" w:sz="4" w:space="0"/>
          <w:bottom w:val="none" w:color="000000" w:sz="4" w:space="0"/>
          <w:right w:val="none" w:color="000000" w:sz="4" w:space="0"/>
        </w:tcBorders>
        <w:shd w:val="clear" w:color="ffffff"/>
      </w:tcPr>
    </w:tblStylePr>
  </w:style>
  <w:style w:type="table" w:styleId="784">
    <w:name w:val="Grid Table 2 - Accent 5"/>
    <w:basedOn w:val="913"/>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9e2f2" w:themeFill="accent5" w:themeFillTint="34"/>
      </w:tcPr>
    </w:tblStylePr>
    <w:tblStylePr w:type="band1Vert">
      <w:rPr>
        <w:rFonts w:ascii="Arial" w:hAnsi="Arial"/>
        <w:color w:val="404040"/>
        <w:sz w:val="22"/>
      </w:rPr>
      <w:tcPr>
        <w:shd w:val="clear" w:color="ffffff" w:themeColor="accent5" w:themeTint="34" w:fill="d9e2f2" w:themeFill="accent5" w:themeFillTint="34"/>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12" w:space="0"/>
          <w:right w:val="none" w:color="000000" w:sz="4" w:space="0"/>
        </w:tcBorders>
        <w:shd w:val="clear" w:color="ffffff"/>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shd w:val="clear" w:color="ffffff"/>
      </w:tcPr>
    </w:tblStylePr>
  </w:style>
  <w:style w:type="table" w:styleId="785">
    <w:name w:val="Grid Table 2 - Accent 6"/>
    <w:basedOn w:val="913"/>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12" w:space="0"/>
          <w:right w:val="none" w:color="000000" w:sz="4" w:space="0"/>
        </w:tcBorders>
        <w:shd w:val="clear" w:color="ffffff"/>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shd w:val="clear" w:color="ffffff"/>
      </w:tcPr>
    </w:tblStylePr>
  </w:style>
  <w:style w:type="table" w:styleId="786">
    <w:name w:val="Grid Table 3"/>
    <w:basedOn w:val="913"/>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tcBorders>
          <w:top w:val="none" w:color="000000" w:sz="4" w:space="0"/>
          <w:left w:val="none" w:color="000000" w:sz="4" w:space="0"/>
          <w:bottom w:val="none" w:color="000000" w:sz="4" w:space="0"/>
          <w:right w:val="none" w:color="000000" w:sz="4" w:space="0"/>
        </w:tcBorders>
        <w:shd w:val="clear" w:color="ffffff"/>
      </w:tcPr>
    </w:tblStylePr>
    <w:tblStylePr w:type="firstRow">
      <w:rPr>
        <w:b/>
        <w:color w:val="404040"/>
      </w:r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cPr>
        <w:tcBorders>
          <w:top w:val="none" w:color="000000" w:sz="4" w:space="0"/>
          <w:left w:val="none" w:color="000000" w:sz="4" w:space="0"/>
          <w:bottom w:val="none" w:color="000000" w:sz="4" w:space="0"/>
          <w:right w:val="none" w:color="000000" w:sz="4" w:space="0"/>
        </w:tcBorders>
        <w:shd w:val="clear" w:color="ffffff"/>
      </w:tcPr>
    </w:tblStylePr>
    <w:tblStylePr w:type="lastRow">
      <w:rPr>
        <w:b/>
        <w:color w:val="404040"/>
      </w:rPr>
      <w:tcPr>
        <w:tcBorders>
          <w:top w:val="none" w:color="000000" w:sz="4" w:space="0"/>
          <w:left w:val="none" w:color="000000" w:sz="4" w:space="0"/>
          <w:bottom w:val="none" w:color="000000" w:sz="4" w:space="0"/>
          <w:right w:val="none" w:color="000000" w:sz="4" w:space="0"/>
        </w:tcBorders>
        <w:shd w:val="clear" w:color="ffffff"/>
      </w:tcPr>
    </w:tblStylePr>
  </w:style>
  <w:style w:type="table" w:styleId="787">
    <w:name w:val="Grid Table 3 - Accent 1"/>
    <w:basedOn w:val="913"/>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debf6" w:themeFill="accent1" w:themeFillTint="34"/>
      </w:tcPr>
    </w:tblStylePr>
    <w:tblStylePr w:type="band1Vert">
      <w:rPr>
        <w:rFonts w:ascii="Arial" w:hAnsi="Arial"/>
        <w:color w:val="404040"/>
        <w:sz w:val="22"/>
      </w:rPr>
      <w:tcPr>
        <w:shd w:val="clear" w:color="ffffff" w:themeColor="accent1" w:themeTint="34" w:fill="ddebf6" w:themeFill="accent1" w:themeFillTint="34"/>
      </w:tcPr>
    </w:tblStylePr>
    <w:tblStylePr w:type="firstCol">
      <w:rPr>
        <w:i/>
        <w:color w:val="404040"/>
      </w:rPr>
      <w:pPr>
        <w:jc w:val="right"/>
      </w:pPr>
      <w:tcPr>
        <w:tcBorders>
          <w:top w:val="none" w:color="000000" w:sz="4" w:space="0"/>
          <w:left w:val="none" w:color="000000" w:sz="4" w:space="0"/>
          <w:bottom w:val="none" w:color="000000" w:sz="4" w:space="0"/>
          <w:right w:val="none" w:color="000000" w:sz="4" w:space="0"/>
        </w:tcBorders>
        <w:shd w:val="clear" w:color="ffffff"/>
      </w:tcPr>
    </w:tblStylePr>
    <w:tblStylePr w:type="firstRow">
      <w:rPr>
        <w:b/>
        <w:color w:val="404040"/>
      </w:r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cPr>
        <w:tcBorders>
          <w:top w:val="none" w:color="000000" w:sz="4" w:space="0"/>
          <w:left w:val="none" w:color="000000" w:sz="4" w:space="0"/>
          <w:bottom w:val="none" w:color="000000" w:sz="4" w:space="0"/>
          <w:right w:val="none" w:color="000000" w:sz="4" w:space="0"/>
        </w:tcBorders>
        <w:shd w:val="clear" w:color="ffffff"/>
      </w:tcPr>
    </w:tblStylePr>
    <w:tblStylePr w:type="lastRow">
      <w:rPr>
        <w:b/>
        <w:color w:val="404040"/>
      </w:rPr>
      <w:tcPr>
        <w:tcBorders>
          <w:top w:val="none" w:color="000000" w:sz="4" w:space="0"/>
          <w:left w:val="none" w:color="000000" w:sz="4" w:space="0"/>
          <w:bottom w:val="none" w:color="000000" w:sz="4" w:space="0"/>
          <w:right w:val="none" w:color="000000" w:sz="4" w:space="0"/>
        </w:tcBorders>
        <w:shd w:val="clear" w:color="ffffff"/>
      </w:tcPr>
    </w:tblStylePr>
  </w:style>
  <w:style w:type="table" w:styleId="788">
    <w:name w:val="Grid Table 3 - Accent 2"/>
    <w:basedOn w:val="913"/>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i/>
        <w:color w:val="404040"/>
      </w:rPr>
      <w:pPr>
        <w:jc w:val="right"/>
      </w:pPr>
      <w:tcPr>
        <w:tcBorders>
          <w:top w:val="none" w:color="000000" w:sz="4" w:space="0"/>
          <w:left w:val="none" w:color="000000" w:sz="4" w:space="0"/>
          <w:bottom w:val="none" w:color="000000" w:sz="4" w:space="0"/>
          <w:right w:val="none" w:color="000000" w:sz="4" w:space="0"/>
        </w:tcBorders>
        <w:shd w:val="clear" w:color="ffffff"/>
      </w:tcPr>
    </w:tblStylePr>
    <w:tblStylePr w:type="firstRow">
      <w:rPr>
        <w:b/>
        <w:color w:val="404040"/>
      </w:r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cPr>
        <w:tcBorders>
          <w:top w:val="none" w:color="000000" w:sz="4" w:space="0"/>
          <w:left w:val="none" w:color="000000" w:sz="4" w:space="0"/>
          <w:bottom w:val="none" w:color="000000" w:sz="4" w:space="0"/>
          <w:right w:val="none" w:color="000000" w:sz="4" w:space="0"/>
        </w:tcBorders>
        <w:shd w:val="clear" w:color="ffffff"/>
      </w:tcPr>
    </w:tblStylePr>
    <w:tblStylePr w:type="lastRow">
      <w:rPr>
        <w:b/>
        <w:color w:val="404040"/>
      </w:rPr>
      <w:tcPr>
        <w:tcBorders>
          <w:top w:val="none" w:color="000000" w:sz="4" w:space="0"/>
          <w:left w:val="none" w:color="000000" w:sz="4" w:space="0"/>
          <w:bottom w:val="none" w:color="000000" w:sz="4" w:space="0"/>
          <w:right w:val="none" w:color="000000" w:sz="4" w:space="0"/>
        </w:tcBorders>
        <w:shd w:val="clear" w:color="ffffff"/>
      </w:tcPr>
    </w:tblStylePr>
  </w:style>
  <w:style w:type="table" w:styleId="789">
    <w:name w:val="Grid Table 3 - Accent 3"/>
    <w:basedOn w:val="91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i/>
        <w:color w:val="404040"/>
      </w:rPr>
      <w:pPr>
        <w:jc w:val="right"/>
      </w:pPr>
      <w:tcPr>
        <w:tcBorders>
          <w:top w:val="none" w:color="000000" w:sz="4" w:space="0"/>
          <w:left w:val="none" w:color="000000" w:sz="4" w:space="0"/>
          <w:bottom w:val="none" w:color="000000" w:sz="4" w:space="0"/>
          <w:right w:val="none" w:color="000000" w:sz="4" w:space="0"/>
        </w:tcBorders>
        <w:shd w:val="clear" w:color="ffffff"/>
      </w:tcPr>
    </w:tblStylePr>
    <w:tblStylePr w:type="firstRow">
      <w:rPr>
        <w:b/>
        <w:color w:val="404040"/>
      </w:r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cPr>
        <w:tcBorders>
          <w:top w:val="none" w:color="000000" w:sz="4" w:space="0"/>
          <w:left w:val="none" w:color="000000" w:sz="4" w:space="0"/>
          <w:bottom w:val="none" w:color="000000" w:sz="4" w:space="0"/>
          <w:right w:val="none" w:color="000000" w:sz="4" w:space="0"/>
        </w:tcBorders>
        <w:shd w:val="clear" w:color="ffffff"/>
      </w:tcPr>
    </w:tblStylePr>
    <w:tblStylePr w:type="lastRow">
      <w:rPr>
        <w:b/>
        <w:color w:val="404040"/>
      </w:rPr>
      <w:tcPr>
        <w:tcBorders>
          <w:top w:val="none" w:color="000000" w:sz="4" w:space="0"/>
          <w:left w:val="none" w:color="000000" w:sz="4" w:space="0"/>
          <w:bottom w:val="none" w:color="000000" w:sz="4" w:space="0"/>
          <w:right w:val="none" w:color="000000" w:sz="4" w:space="0"/>
        </w:tcBorders>
        <w:shd w:val="clear" w:color="ffffff"/>
      </w:tcPr>
    </w:tblStylePr>
  </w:style>
  <w:style w:type="table" w:styleId="790">
    <w:name w:val="Grid Table 3 - Accent 4"/>
    <w:basedOn w:val="913"/>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i/>
        <w:color w:val="404040"/>
      </w:rPr>
      <w:pPr>
        <w:jc w:val="right"/>
      </w:pPr>
      <w:tcPr>
        <w:tcBorders>
          <w:top w:val="none" w:color="000000" w:sz="4" w:space="0"/>
          <w:left w:val="none" w:color="000000" w:sz="4" w:space="0"/>
          <w:bottom w:val="none" w:color="000000" w:sz="4" w:space="0"/>
          <w:right w:val="none" w:color="000000" w:sz="4" w:space="0"/>
        </w:tcBorders>
        <w:shd w:val="clear" w:color="ffffff"/>
      </w:tcPr>
    </w:tblStylePr>
    <w:tblStylePr w:type="firstRow">
      <w:rPr>
        <w:b/>
        <w:color w:val="404040"/>
      </w:r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cPr>
        <w:tcBorders>
          <w:top w:val="none" w:color="000000" w:sz="4" w:space="0"/>
          <w:left w:val="none" w:color="000000" w:sz="4" w:space="0"/>
          <w:bottom w:val="none" w:color="000000" w:sz="4" w:space="0"/>
          <w:right w:val="none" w:color="000000" w:sz="4" w:space="0"/>
        </w:tcBorders>
        <w:shd w:val="clear" w:color="ffffff"/>
      </w:tcPr>
    </w:tblStylePr>
    <w:tblStylePr w:type="lastRow">
      <w:rPr>
        <w:b/>
        <w:color w:val="404040"/>
      </w:rPr>
      <w:tcPr>
        <w:tcBorders>
          <w:top w:val="none" w:color="000000" w:sz="4" w:space="0"/>
          <w:left w:val="none" w:color="000000" w:sz="4" w:space="0"/>
          <w:bottom w:val="none" w:color="000000" w:sz="4" w:space="0"/>
          <w:right w:val="none" w:color="000000" w:sz="4" w:space="0"/>
        </w:tcBorders>
        <w:shd w:val="clear" w:color="ffffff"/>
      </w:tcPr>
    </w:tblStylePr>
  </w:style>
  <w:style w:type="table" w:styleId="791">
    <w:name w:val="Grid Table 3 - Accent 5"/>
    <w:basedOn w:val="913"/>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9e2f2" w:themeFill="accent5" w:themeFillTint="34"/>
      </w:tcPr>
    </w:tblStylePr>
    <w:tblStylePr w:type="band1Vert">
      <w:rPr>
        <w:rFonts w:ascii="Arial" w:hAnsi="Arial"/>
        <w:color w:val="404040"/>
        <w:sz w:val="22"/>
      </w:rPr>
      <w:tcPr>
        <w:shd w:val="clear" w:color="ffffff" w:themeColor="accent5" w:themeTint="34" w:fill="d9e2f2" w:themeFill="accent5" w:themeFillTint="34"/>
      </w:tcPr>
    </w:tblStylePr>
    <w:tblStylePr w:type="firstCol">
      <w:rPr>
        <w:i/>
        <w:color w:val="404040"/>
      </w:rPr>
      <w:pPr>
        <w:jc w:val="right"/>
      </w:pPr>
      <w:tcPr>
        <w:tcBorders>
          <w:top w:val="none" w:color="000000" w:sz="4" w:space="0"/>
          <w:left w:val="none" w:color="000000" w:sz="4" w:space="0"/>
          <w:bottom w:val="none" w:color="000000" w:sz="4" w:space="0"/>
          <w:right w:val="none" w:color="000000" w:sz="4" w:space="0"/>
        </w:tcBorders>
        <w:shd w:val="clear" w:color="ffffff"/>
      </w:tcPr>
    </w:tblStylePr>
    <w:tblStylePr w:type="firstRow">
      <w:rPr>
        <w:b/>
        <w:color w:val="404040"/>
      </w:r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cPr>
        <w:tcBorders>
          <w:top w:val="none" w:color="000000" w:sz="4" w:space="0"/>
          <w:left w:val="none" w:color="000000" w:sz="4" w:space="0"/>
          <w:bottom w:val="none" w:color="000000" w:sz="4" w:space="0"/>
          <w:right w:val="none" w:color="000000" w:sz="4" w:space="0"/>
        </w:tcBorders>
        <w:shd w:val="clear" w:color="ffffff"/>
      </w:tcPr>
    </w:tblStylePr>
    <w:tblStylePr w:type="lastRow">
      <w:rPr>
        <w:b/>
        <w:color w:val="404040"/>
      </w:rPr>
      <w:tcPr>
        <w:tcBorders>
          <w:top w:val="none" w:color="000000" w:sz="4" w:space="0"/>
          <w:left w:val="none" w:color="000000" w:sz="4" w:space="0"/>
          <w:bottom w:val="none" w:color="000000" w:sz="4" w:space="0"/>
          <w:right w:val="none" w:color="000000" w:sz="4" w:space="0"/>
        </w:tcBorders>
        <w:shd w:val="clear" w:color="ffffff"/>
      </w:tcPr>
    </w:tblStylePr>
  </w:style>
  <w:style w:type="table" w:styleId="792">
    <w:name w:val="Grid Table 3 - Accent 6"/>
    <w:basedOn w:val="913"/>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i/>
        <w:color w:val="404040"/>
      </w:rPr>
      <w:pPr>
        <w:jc w:val="right"/>
      </w:pPr>
      <w:tcPr>
        <w:tcBorders>
          <w:top w:val="none" w:color="000000" w:sz="4" w:space="0"/>
          <w:left w:val="none" w:color="000000" w:sz="4" w:space="0"/>
          <w:bottom w:val="none" w:color="000000" w:sz="4" w:space="0"/>
          <w:right w:val="none" w:color="000000" w:sz="4" w:space="0"/>
        </w:tcBorders>
        <w:shd w:val="clear" w:color="ffffff"/>
      </w:tcPr>
    </w:tblStylePr>
    <w:tblStylePr w:type="firstRow">
      <w:rPr>
        <w:b/>
        <w:color w:val="404040"/>
      </w:r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cPr>
        <w:tcBorders>
          <w:top w:val="none" w:color="000000" w:sz="4" w:space="0"/>
          <w:left w:val="none" w:color="000000" w:sz="4" w:space="0"/>
          <w:bottom w:val="none" w:color="000000" w:sz="4" w:space="0"/>
          <w:right w:val="none" w:color="000000" w:sz="4" w:space="0"/>
        </w:tcBorders>
        <w:shd w:val="clear" w:color="ffffff"/>
      </w:tcPr>
    </w:tblStylePr>
    <w:tblStylePr w:type="lastRow">
      <w:rPr>
        <w:b/>
        <w:color w:val="404040"/>
      </w:rPr>
      <w:tcPr>
        <w:tcBorders>
          <w:top w:val="none" w:color="000000" w:sz="4" w:space="0"/>
          <w:left w:val="none" w:color="000000" w:sz="4" w:space="0"/>
          <w:bottom w:val="none" w:color="000000" w:sz="4" w:space="0"/>
          <w:right w:val="none" w:color="000000" w:sz="4" w:space="0"/>
        </w:tcBorders>
        <w:shd w:val="clear" w:color="ffffff"/>
      </w:tcPr>
    </w:tblStylePr>
  </w:style>
  <w:style w:type="table" w:styleId="793">
    <w:name w:val="Grid Table 4"/>
    <w:basedOn w:val="913"/>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ffffff" w:themeColor="text1" w:fill="000000" w:themeFill="text1"/>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94">
    <w:name w:val="Grid Table 4 - Accent 1"/>
    <w:basedOn w:val="913"/>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febf6" w:themeFill="accent1" w:themeFillTint="32"/>
      </w:tcPr>
    </w:tblStylePr>
    <w:tblStylePr w:type="band1Vert">
      <w:rPr>
        <w:rFonts w:ascii="Arial" w:hAnsi="Arial"/>
        <w:color w:val="404040"/>
        <w:sz w:val="22"/>
      </w:rPr>
      <w:tcPr>
        <w:shd w:val="clear" w:color="ffffff" w:themeColor="accent1" w:themeTint="32" w:fill="dfebf6" w:themeFill="accent1" w:themeFillTint="32"/>
      </w:tcPr>
    </w:tblStylePr>
    <w:tblStylePr w:type="firstCol">
      <w:rPr>
        <w:b/>
        <w:color w:val="404040"/>
      </w:rPr>
    </w:tblStylePr>
    <w:tblStylePr w:type="firstRow">
      <w:rPr>
        <w:rFonts w:ascii="Arial" w:hAnsi="Arial"/>
        <w:b/>
        <w:color w:val="ffffff"/>
        <w:sz w:val="22"/>
      </w:rPr>
      <w:tcPr>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shd w:val="clear" w:color="ffffff" w:themeColor="accent1" w:themeTint="EA" w:fill="67a4d8" w:themeFill="accent1" w:themeFillTint="EA"/>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95">
    <w:name w:val="Grid Table 4 - Accent 2"/>
    <w:basedOn w:val="913"/>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rFonts w:ascii="Arial" w:hAnsi="Arial"/>
        <w:b/>
        <w:color w:val="ffffff"/>
        <w:sz w:val="22"/>
      </w:rPr>
      <w:tcPr>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shd w:val="clear" w:color="ffffff" w:themeColor="accent2" w:themeTint="97" w:fill="f4b185" w:themeFill="accent2" w:themeFillTint="97"/>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96">
    <w:name w:val="Grid Table 4 - Accent 3"/>
    <w:basedOn w:val="913"/>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rFonts w:ascii="Arial" w:hAnsi="Arial"/>
        <w:b/>
        <w:color w:val="ffffff"/>
        <w:sz w:val="22"/>
      </w:rPr>
      <w:tcPr>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shd w:val="clear" w:color="ffffff" w:themeColor="accent3" w:themeTint="FE" w:fill="a5a5a5" w:themeFill="accent3" w:themeFillTint="FE"/>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797">
    <w:name w:val="Grid Table 4 - Accent 4"/>
    <w:basedOn w:val="913"/>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rFonts w:ascii="Arial" w:hAnsi="Arial"/>
        <w:b/>
        <w:color w:val="ffffff"/>
        <w:sz w:val="22"/>
      </w:rPr>
      <w:tcPr>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shd w:val="clear" w:color="ffffff" w:themeColor="accent4" w:themeTint="9A" w:fill="ffd864" w:themeFill="accent4" w:themeFillTint="9A"/>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798">
    <w:name w:val="Grid Table 4 - Accent 5"/>
    <w:basedOn w:val="913"/>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9e2f2" w:themeFill="accent5" w:themeFillTint="34"/>
      </w:tcPr>
    </w:tblStylePr>
    <w:tblStylePr w:type="band1Vert">
      <w:rPr>
        <w:rFonts w:ascii="Arial" w:hAnsi="Arial"/>
        <w:color w:val="404040"/>
        <w:sz w:val="22"/>
      </w:rPr>
      <w:tcPr>
        <w:shd w:val="clear" w:color="ffffff" w:themeColor="accent5" w:themeTint="34" w:fill="d9e2f2" w:themeFill="accent5" w:themeFillTint="34"/>
      </w:tcPr>
    </w:tblStylePr>
    <w:tblStylePr w:type="firstCol">
      <w:rPr>
        <w:b/>
        <w:color w:val="404040"/>
      </w:rPr>
    </w:tblStylePr>
    <w:tblStylePr w:type="firstRow">
      <w:rPr>
        <w:rFonts w:ascii="Arial" w:hAnsi="Arial"/>
        <w:b/>
        <w:color w:val="ffffff"/>
        <w:sz w:val="22"/>
      </w:r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shd w:val="clear" w:color="ffffff" w:themeColor="accent5" w:fill="4472c4" w:themeFill="accent5"/>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799">
    <w:name w:val="Grid Table 4 - Accent 6"/>
    <w:basedOn w:val="913"/>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rFonts w:ascii="Arial" w:hAnsi="Arial"/>
        <w:b/>
        <w:color w:val="ffffff"/>
        <w:sz w:val="22"/>
      </w:r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shd w:val="clear" w:color="ffffff" w:themeColor="accent6" w:fill="70ad47" w:themeFill="accent6"/>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800">
    <w:name w:val="Grid Table 5 Dark"/>
    <w:basedOn w:val="91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tcBorders>
          <w:top w:val="single" w:color="000000" w:themeColor="light1" w:sz="4" w:space="0"/>
        </w:tcBorders>
        <w:shd w:val="clear" w:color="ffffff" w:themeColor="text1" w:fill="000000" w:themeFill="text1"/>
      </w:tcPr>
    </w:tblStylePr>
  </w:style>
  <w:style w:type="table" w:styleId="801">
    <w:name w:val="Grid Table 5 Dark- Accent 1"/>
    <w:basedOn w:val="91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debf6" w:themeFill="accent1" w:themeFillTint="34"/>
    </w:tblPr>
    <w:tblStylePr w:type="band1Horz">
      <w:tcPr>
        <w:shd w:val="clear" w:color="ffffff" w:themeColor="accent1" w:themeTint="75" w:fill="b4d2eb" w:themeFill="accent1" w:themeFillTint="75"/>
      </w:tcPr>
    </w:tblStylePr>
    <w:tblStylePr w:type="band1Vert">
      <w:tcPr>
        <w:shd w:val="clear" w:color="ffffff" w:themeColor="accent1" w:themeTint="75" w:fill="b4d2eb" w:themeFill="accent1" w:themeFillTint="75"/>
      </w:tcPr>
    </w:tblStylePr>
    <w:tblStylePr w:type="firstCol">
      <w:rPr>
        <w:rFonts w:ascii="Arial" w:hAnsi="Arial"/>
        <w:b/>
        <w:color w:val="ffffff"/>
        <w:sz w:val="22"/>
      </w:rPr>
      <w:tcPr>
        <w:shd w:val="clear" w:color="ffffff" w:themeColor="accent1" w:fill="5b9bd5" w:themeFill="accent1"/>
      </w:tcPr>
    </w:tblStylePr>
    <w:tblStylePr w:type="firstRow">
      <w:rPr>
        <w:rFonts w:ascii="Arial" w:hAnsi="Arial"/>
        <w:b/>
        <w:color w:val="ffffff"/>
        <w:sz w:val="22"/>
      </w:rPr>
      <w:tcPr>
        <w:shd w:val="clear" w:color="ffffff" w:themeColor="accent1" w:fill="5b9bd5" w:themeFill="accent1"/>
      </w:tcPr>
    </w:tblStylePr>
    <w:tblStylePr w:type="lastCol">
      <w:rPr>
        <w:rFonts w:ascii="Arial" w:hAnsi="Arial"/>
        <w:b/>
        <w:color w:val="ffffff"/>
        <w:sz w:val="22"/>
      </w:rPr>
      <w:tcPr>
        <w:shd w:val="clear" w:color="ffffff" w:themeColor="accent1" w:fill="5b9bd5" w:themeFill="accent1"/>
      </w:tcPr>
    </w:tblStylePr>
    <w:tblStylePr w:type="lastRow">
      <w:rPr>
        <w:rFonts w:ascii="Arial" w:hAnsi="Arial"/>
        <w:b/>
        <w:color w:val="ffffff"/>
        <w:sz w:val="22"/>
      </w:rPr>
      <w:tcPr>
        <w:tcBorders>
          <w:top w:val="single" w:color="000000" w:themeColor="light1" w:sz="4" w:space="0"/>
        </w:tcBorders>
        <w:shd w:val="clear" w:color="ffffff" w:themeColor="accent1" w:fill="5b9bd5" w:themeFill="accent1"/>
      </w:tcPr>
    </w:tblStylePr>
  </w:style>
  <w:style w:type="table" w:styleId="802">
    <w:name w:val="Grid Table 5 Dark - Accent 2"/>
    <w:basedOn w:val="91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5d6" w:themeFill="accent2" w:themeFillTint="32"/>
    </w:tblPr>
    <w:tblStylePr w:type="band1Horz">
      <w:tcPr>
        <w:shd w:val="clear" w:color="ffffff" w:themeColor="accent2" w:themeTint="75" w:fill="f6c3a1" w:themeFill="accent2" w:themeFillTint="75"/>
      </w:tcPr>
    </w:tblStylePr>
    <w:tblStylePr w:type="band1Vert">
      <w:tcPr>
        <w:shd w:val="clear" w:color="ffffff" w:themeColor="accent2" w:themeTint="75" w:fill="f6c3a1" w:themeFill="accent2" w:themeFillTint="75"/>
      </w:tcPr>
    </w:tblStylePr>
    <w:tblStylePr w:type="firstCol">
      <w:rPr>
        <w:rFonts w:ascii="Arial" w:hAnsi="Arial"/>
        <w:b/>
        <w:color w:val="ffffff"/>
        <w:sz w:val="22"/>
      </w:rPr>
      <w:tcPr>
        <w:shd w:val="clear" w:color="ffffff" w:themeColor="accent2" w:fill="ed7d31" w:themeFill="accent2"/>
      </w:tcPr>
    </w:tblStylePr>
    <w:tblStylePr w:type="firstRow">
      <w:rPr>
        <w:rFonts w:ascii="Arial" w:hAnsi="Arial"/>
        <w:b/>
        <w:color w:val="ffffff"/>
        <w:sz w:val="22"/>
      </w:rPr>
      <w:tcPr>
        <w:shd w:val="clear" w:color="ffffff" w:themeColor="accent2" w:fill="ed7d31" w:themeFill="accent2"/>
      </w:tcPr>
    </w:tblStylePr>
    <w:tblStylePr w:type="lastCol">
      <w:rPr>
        <w:rFonts w:ascii="Arial" w:hAnsi="Arial"/>
        <w:b/>
        <w:color w:val="ffffff"/>
        <w:sz w:val="22"/>
      </w:rPr>
      <w:tcPr>
        <w:shd w:val="clear" w:color="ffffff" w:themeColor="accent2" w:fill="ed7d31" w:themeFill="accent2"/>
      </w:tcPr>
    </w:tblStylePr>
    <w:tblStylePr w:type="lastRow">
      <w:rPr>
        <w:rFonts w:ascii="Arial" w:hAnsi="Arial"/>
        <w:b/>
        <w:color w:val="ffffff"/>
        <w:sz w:val="22"/>
      </w:rPr>
      <w:tcPr>
        <w:tcBorders>
          <w:top w:val="single" w:color="000000" w:themeColor="light1" w:sz="4" w:space="0"/>
        </w:tcBorders>
        <w:shd w:val="clear" w:color="ffffff" w:themeColor="accent2" w:fill="ed7d31" w:themeFill="accent2"/>
      </w:tcPr>
    </w:tblStylePr>
  </w:style>
  <w:style w:type="table" w:styleId="803">
    <w:name w:val="Grid Table 5 Dark - Accent 3"/>
    <w:basedOn w:val="91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blStylePr w:type="band1Horz">
      <w:tcPr>
        <w:shd w:val="clear" w:color="ffffff" w:themeColor="accent3" w:themeTint="75" w:fill="d6d6d6" w:themeFill="accent3" w:themeFillTint="75"/>
      </w:tcPr>
    </w:tblStylePr>
    <w:tblStylePr w:type="band1Vert">
      <w:tcPr>
        <w:shd w:val="clear" w:color="ffffff" w:themeColor="accent3" w:themeTint="75" w:fill="d6d6d6" w:themeFill="accent3" w:themeFillTint="75"/>
      </w:tcPr>
    </w:tblStylePr>
    <w:tblStylePr w:type="firstCol">
      <w:rPr>
        <w:rFonts w:ascii="Arial" w:hAnsi="Arial"/>
        <w:b/>
        <w:color w:val="ffffff"/>
        <w:sz w:val="22"/>
      </w:rPr>
      <w:tcPr>
        <w:shd w:val="clear" w:color="ffffff" w:themeColor="accent3" w:fill="a5a5a5" w:themeFill="accent3"/>
      </w:tcPr>
    </w:tblStylePr>
    <w:tblStylePr w:type="firstRow">
      <w:rPr>
        <w:rFonts w:ascii="Arial" w:hAnsi="Arial"/>
        <w:b/>
        <w:color w:val="ffffff"/>
        <w:sz w:val="22"/>
      </w:rPr>
      <w:tcPr>
        <w:shd w:val="clear" w:color="ffffff" w:themeColor="accent3" w:fill="a5a5a5" w:themeFill="accent3"/>
      </w:tcPr>
    </w:tblStylePr>
    <w:tblStylePr w:type="lastCol">
      <w:rPr>
        <w:rFonts w:ascii="Arial" w:hAnsi="Arial"/>
        <w:b/>
        <w:color w:val="ffffff"/>
        <w:sz w:val="22"/>
      </w:rPr>
      <w:tcPr>
        <w:shd w:val="clear" w:color="ffffff" w:themeColor="accent3" w:fill="a5a5a5" w:themeFill="accent3"/>
      </w:tcPr>
    </w:tblStylePr>
    <w:tblStylePr w:type="lastRow">
      <w:rPr>
        <w:rFonts w:ascii="Arial" w:hAnsi="Arial"/>
        <w:b/>
        <w:color w:val="ffffff"/>
        <w:sz w:val="22"/>
      </w:rPr>
      <w:tcPr>
        <w:tcBorders>
          <w:top w:val="single" w:color="000000" w:themeColor="light1" w:sz="4" w:space="0"/>
        </w:tcBorders>
        <w:shd w:val="clear" w:color="ffffff" w:themeColor="accent3" w:fill="a5a5a5" w:themeFill="accent3"/>
      </w:tcPr>
    </w:tblStylePr>
  </w:style>
  <w:style w:type="table" w:styleId="804">
    <w:name w:val="Grid Table 5 Dark- Accent 4"/>
    <w:basedOn w:val="91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ef2cb" w:themeFill="accent4" w:themeFillTint="34"/>
    </w:tblPr>
    <w:tblStylePr w:type="band1Horz">
      <w:tcPr>
        <w:shd w:val="clear" w:color="ffffff" w:themeColor="accent4" w:themeTint="75" w:fill="fee189" w:themeFill="accent4" w:themeFillTint="75"/>
      </w:tcPr>
    </w:tblStylePr>
    <w:tblStylePr w:type="band1Vert">
      <w:tcPr>
        <w:shd w:val="clear" w:color="ffffff" w:themeColor="accent4" w:themeTint="75" w:fill="fee189" w:themeFill="accent4" w:themeFillTint="75"/>
      </w:tcPr>
    </w:tblStylePr>
    <w:tblStylePr w:type="firstCol">
      <w:rPr>
        <w:rFonts w:ascii="Arial" w:hAnsi="Arial"/>
        <w:b/>
        <w:color w:val="ffffff"/>
        <w:sz w:val="22"/>
      </w:rPr>
      <w:tcPr>
        <w:shd w:val="clear" w:color="ffffff" w:themeColor="accent4" w:fill="ffc000" w:themeFill="accent4"/>
      </w:tcPr>
    </w:tblStylePr>
    <w:tblStylePr w:type="firstRow">
      <w:rPr>
        <w:rFonts w:ascii="Arial" w:hAnsi="Arial"/>
        <w:b/>
        <w:color w:val="ffffff"/>
        <w:sz w:val="22"/>
      </w:rPr>
      <w:tcPr>
        <w:shd w:val="clear" w:color="ffffff" w:themeColor="accent4" w:fill="ffc000" w:themeFill="accent4"/>
      </w:tcPr>
    </w:tblStylePr>
    <w:tblStylePr w:type="lastCol">
      <w:rPr>
        <w:rFonts w:ascii="Arial" w:hAnsi="Arial"/>
        <w:b/>
        <w:color w:val="ffffff"/>
        <w:sz w:val="22"/>
      </w:rPr>
      <w:tcPr>
        <w:shd w:val="clear" w:color="ffffff" w:themeColor="accent4" w:fill="ffc000" w:themeFill="accent4"/>
      </w:tcPr>
    </w:tblStylePr>
    <w:tblStylePr w:type="lastRow">
      <w:rPr>
        <w:rFonts w:ascii="Arial" w:hAnsi="Arial"/>
        <w:b/>
        <w:color w:val="ffffff"/>
        <w:sz w:val="22"/>
      </w:rPr>
      <w:tcPr>
        <w:tcBorders>
          <w:top w:val="single" w:color="000000" w:themeColor="light1" w:sz="4" w:space="0"/>
        </w:tcBorders>
        <w:shd w:val="clear" w:color="ffffff" w:themeColor="accent4" w:fill="ffc000" w:themeFill="accent4"/>
      </w:tcPr>
    </w:tblStylePr>
  </w:style>
  <w:style w:type="table" w:styleId="805">
    <w:name w:val="Grid Table 5 Dark - Accent 5"/>
    <w:basedOn w:val="91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9e2f2" w:themeFill="accent5" w:themeFillTint="34"/>
    </w:tblPr>
    <w:tblStylePr w:type="band1Horz">
      <w:tcPr>
        <w:shd w:val="clear" w:color="ffffff" w:themeColor="accent5" w:themeTint="75" w:fill="aabfe3" w:themeFill="accent5" w:themeFillTint="75"/>
      </w:tcPr>
    </w:tblStylePr>
    <w:tblStylePr w:type="band1Vert">
      <w:tcPr>
        <w:shd w:val="clear" w:color="ffffff" w:themeColor="accent5" w:themeTint="75" w:fill="aabfe3" w:themeFill="accent5" w:themeFillTint="75"/>
      </w:tcPr>
    </w:tblStylePr>
    <w:tblStylePr w:type="firstCol">
      <w:rPr>
        <w:rFonts w:ascii="Arial" w:hAnsi="Arial"/>
        <w:b/>
        <w:color w:val="ffffff"/>
        <w:sz w:val="22"/>
      </w:rPr>
      <w:tcPr>
        <w:shd w:val="clear" w:color="ffffff" w:themeColor="accent5" w:fill="4472c4" w:themeFill="accent5"/>
      </w:tcPr>
    </w:tblStylePr>
    <w:tblStylePr w:type="firstRow">
      <w:rPr>
        <w:rFonts w:ascii="Arial" w:hAnsi="Arial"/>
        <w:b/>
        <w:color w:val="ffffff"/>
        <w:sz w:val="22"/>
      </w:rPr>
      <w:tcPr>
        <w:shd w:val="clear" w:color="ffffff" w:themeColor="accent5" w:fill="4472c4" w:themeFill="accent5"/>
      </w:tcPr>
    </w:tblStylePr>
    <w:tblStylePr w:type="lastCol">
      <w:rPr>
        <w:rFonts w:ascii="Arial" w:hAnsi="Arial"/>
        <w:b/>
        <w:color w:val="ffffff"/>
        <w:sz w:val="22"/>
      </w:rPr>
      <w:tcPr>
        <w:shd w:val="clear" w:color="ffffff" w:themeColor="accent5" w:fill="4472c4" w:themeFill="accent5"/>
      </w:tcPr>
    </w:tblStylePr>
    <w:tblStylePr w:type="lastRow">
      <w:rPr>
        <w:rFonts w:ascii="Arial" w:hAnsi="Arial"/>
        <w:b/>
        <w:color w:val="ffffff"/>
        <w:sz w:val="22"/>
      </w:rPr>
      <w:tcPr>
        <w:tcBorders>
          <w:top w:val="single" w:color="000000" w:themeColor="light1" w:sz="4" w:space="0"/>
        </w:tcBorders>
        <w:shd w:val="clear" w:color="ffffff" w:themeColor="accent5" w:fill="4472c4" w:themeFill="accent5"/>
      </w:tcPr>
    </w:tblStylePr>
  </w:style>
  <w:style w:type="table" w:styleId="806">
    <w:name w:val="Grid Table 5 Dark - Accent 6"/>
    <w:basedOn w:val="91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8" w:themeFill="accent6" w:themeFillTint="34"/>
    </w:tblPr>
    <w:tblStylePr w:type="band1Horz">
      <w:tcPr>
        <w:shd w:val="clear" w:color="ffffff" w:themeColor="accent6" w:themeTint="75" w:fill="bedba8" w:themeFill="accent6" w:themeFillTint="75"/>
      </w:tcPr>
    </w:tblStylePr>
    <w:tblStylePr w:type="band1Vert">
      <w:tcPr>
        <w:shd w:val="clear" w:color="ffffff" w:themeColor="accent6" w:themeTint="75" w:fill="bedba8" w:themeFill="accent6" w:themeFillTint="75"/>
      </w:tcPr>
    </w:tblStylePr>
    <w:tblStylePr w:type="firstCol">
      <w:rPr>
        <w:rFonts w:ascii="Arial" w:hAnsi="Arial"/>
        <w:b/>
        <w:color w:val="ffffff"/>
        <w:sz w:val="22"/>
      </w:rPr>
      <w:tcPr>
        <w:shd w:val="clear" w:color="ffffff" w:themeColor="accent6" w:fill="70ad47" w:themeFill="accent6"/>
      </w:tcPr>
    </w:tblStylePr>
    <w:tblStylePr w:type="firstRow">
      <w:rPr>
        <w:rFonts w:ascii="Arial" w:hAnsi="Arial"/>
        <w:b/>
        <w:color w:val="ffffff"/>
        <w:sz w:val="22"/>
      </w:rPr>
      <w:tcPr>
        <w:shd w:val="clear" w:color="ffffff" w:themeColor="accent6" w:fill="70ad47" w:themeFill="accent6"/>
      </w:tcPr>
    </w:tblStylePr>
    <w:tblStylePr w:type="lastCol">
      <w:rPr>
        <w:rFonts w:ascii="Arial" w:hAnsi="Arial"/>
        <w:b/>
        <w:color w:val="ffffff"/>
        <w:sz w:val="22"/>
      </w:rPr>
      <w:tcPr>
        <w:shd w:val="clear" w:color="ffffff" w:themeColor="accent6" w:fill="70ad47" w:themeFill="accent6"/>
      </w:tcPr>
    </w:tblStylePr>
    <w:tblStylePr w:type="lastRow">
      <w:rPr>
        <w:rFonts w:ascii="Arial" w:hAnsi="Arial"/>
        <w:b/>
        <w:color w:val="ffffff"/>
        <w:sz w:val="22"/>
      </w:rPr>
      <w:tcPr>
        <w:tcBorders>
          <w:top w:val="single" w:color="000000" w:themeColor="light1" w:sz="4" w:space="0"/>
        </w:tcBorders>
        <w:shd w:val="clear" w:color="ffffff" w:themeColor="accent6" w:fill="70ad47" w:themeFill="accent6"/>
      </w:tcPr>
    </w:tblStylePr>
  </w:style>
  <w:style w:type="table" w:styleId="807">
    <w:name w:val="Grid Table 6 Colorful"/>
    <w:basedOn w:val="913"/>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808">
    <w:name w:val="Grid Table 6 Colorful - Accent 1"/>
    <w:basedOn w:val="913"/>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debf6" w:themeFill="accent1" w:themeFillTint="34"/>
      </w:tcPr>
    </w:tblStylePr>
    <w:tblStylePr w:type="band1Vert">
      <w:tcPr>
        <w:shd w:val="clear" w:color="ffffff" w:themeColor="accent1" w:themeTint="34" w:fill="ddebf6" w:themeFill="accent1" w:themeFillTint="34"/>
      </w:tcPr>
    </w:tblStylePr>
    <w:tblStylePr w:type="band2Horz">
      <w:rPr>
        <w:rFonts w:ascii="Arial" w:hAnsi="Arial"/>
        <w:color w:val="404040" w:themeColor="accent1" w:themeTint="80" w:themeShade="95"/>
        <w:sz w:val="22"/>
      </w:rPr>
    </w:tblStylePr>
    <w:tblStylePr w:type="firstCol">
      <w:rPr>
        <w:b/>
        <w:color w:val="317bba" w:themeColor="accent1" w:themeTint="80" w:themeShade="95"/>
      </w:rPr>
    </w:tblStylePr>
    <w:tblStylePr w:type="firstRow">
      <w:rPr>
        <w:b/>
        <w:color w:val="317bba" w:themeColor="accent1" w:themeTint="80" w:themeShade="95"/>
      </w:rPr>
      <w:tcPr>
        <w:tcBorders>
          <w:bottom w:val="single" w:color="000000" w:themeColor="accent1" w:themeTint="80" w:sz="12" w:space="0"/>
        </w:tcBorders>
      </w:tcPr>
    </w:tblStylePr>
    <w:tblStylePr w:type="lastCol">
      <w:rPr>
        <w:b/>
        <w:color w:val="317bba" w:themeColor="accent1" w:themeTint="80" w:themeShade="95"/>
      </w:rPr>
    </w:tblStylePr>
    <w:tblStylePr w:type="lastRow">
      <w:rPr>
        <w:b/>
        <w:color w:val="317bba" w:themeColor="accent1" w:themeTint="80" w:themeShade="95"/>
      </w:rPr>
    </w:tblStylePr>
    <w:tblStylePr w:type="wholeTable">
      <w:rPr>
        <w:rFonts w:ascii="Arial" w:hAnsi="Arial"/>
        <w:color w:val="404040" w:themeColor="accent1" w:themeTint="80" w:themeShade="95"/>
        <w:sz w:val="22"/>
      </w:rPr>
    </w:tblStylePr>
  </w:style>
  <w:style w:type="table" w:styleId="809">
    <w:name w:val="Grid Table 6 Colorful - Accent 2"/>
    <w:basedOn w:val="913"/>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12" w:space="0"/>
        </w:tcBorders>
      </w:tcPr>
    </w:tblStylePr>
    <w:tblStylePr w:type="lastCol">
      <w:rPr>
        <w:b/>
        <w:color w:val="c95712" w:themeColor="accent2" w:themeTint="97" w:themeShade="95"/>
      </w:rPr>
    </w:tblStylePr>
    <w:tblStylePr w:type="lastRow">
      <w:rPr>
        <w:b/>
        <w:color w:val="c95712" w:themeColor="accent2" w:themeTint="97" w:themeShade="95"/>
      </w:rPr>
    </w:tblStylePr>
    <w:tblStylePr w:type="wholeTable">
      <w:rPr>
        <w:rFonts w:ascii="Arial" w:hAnsi="Arial"/>
        <w:color w:val="404040" w:themeColor="accent2" w:themeTint="97" w:themeShade="95"/>
        <w:sz w:val="22"/>
      </w:rPr>
    </w:tblStylePr>
  </w:style>
  <w:style w:type="table" w:styleId="810">
    <w:name w:val="Grid Table 6 Colorful - Accent 3"/>
    <w:basedOn w:val="913"/>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404040" w:themeColor="accent3" w:themeTint="FE" w:themeShade="95"/>
        <w:sz w:val="22"/>
      </w:rPr>
    </w:tblStylePr>
    <w:tblStylePr w:type="firstCol">
      <w:rPr>
        <w:b/>
        <w:color w:val="606060" w:themeColor="accent3" w:themeTint="FE" w:themeShade="95"/>
      </w:rPr>
    </w:tblStylePr>
    <w:tblStylePr w:type="firstRow">
      <w:rPr>
        <w:b/>
        <w:color w:val="606060" w:themeColor="accent3" w:themeTint="FE" w:themeShade="95"/>
      </w:rPr>
      <w:tcPr>
        <w:tcBorders>
          <w:bottom w:val="single" w:color="000000" w:themeColor="accent3" w:themeTint="FE" w:sz="12" w:space="0"/>
        </w:tcBorders>
      </w:tcPr>
    </w:tblStylePr>
    <w:tblStylePr w:type="lastCol">
      <w:rPr>
        <w:b/>
        <w:color w:val="606060" w:themeColor="accent3" w:themeTint="FE" w:themeShade="95"/>
      </w:rPr>
    </w:tblStylePr>
    <w:tblStylePr w:type="lastRow">
      <w:rPr>
        <w:b/>
        <w:color w:val="606060" w:themeColor="accent3" w:themeTint="FE" w:themeShade="95"/>
      </w:rPr>
    </w:tblStylePr>
    <w:tblStylePr w:type="wholeTable">
      <w:rPr>
        <w:rFonts w:ascii="Arial" w:hAnsi="Arial"/>
        <w:color w:val="404040" w:themeColor="accent3" w:themeTint="FE" w:themeShade="95"/>
        <w:sz w:val="22"/>
      </w:rPr>
    </w:tblStylePr>
  </w:style>
  <w:style w:type="table" w:styleId="811">
    <w:name w:val="Grid Table 6 Colorful - Accent 4"/>
    <w:basedOn w:val="913"/>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12" w:space="0"/>
        </w:tcBorders>
      </w:tcPr>
    </w:tblStylePr>
    <w:tblStylePr w:type="lastCol">
      <w:rPr>
        <w:b/>
        <w:color w:val="cd9600" w:themeColor="accent4" w:themeTint="9A" w:themeShade="95"/>
      </w:rPr>
    </w:tblStylePr>
    <w:tblStylePr w:type="lastRow">
      <w:rPr>
        <w:b/>
        <w:color w:val="cd9600" w:themeColor="accent4" w:themeTint="9A" w:themeShade="95"/>
      </w:rPr>
    </w:tblStylePr>
    <w:tblStylePr w:type="wholeTable">
      <w:rPr>
        <w:rFonts w:ascii="Arial" w:hAnsi="Arial"/>
        <w:color w:val="404040" w:themeColor="accent4" w:themeTint="9A" w:themeShade="95"/>
        <w:sz w:val="22"/>
      </w:rPr>
    </w:tblStylePr>
  </w:style>
  <w:style w:type="table" w:styleId="812">
    <w:name w:val="Grid Table 6 Colorful - Accent 5"/>
    <w:basedOn w:val="913"/>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9e2f2" w:themeFill="accent5" w:themeFillTint="34"/>
      </w:tcPr>
    </w:tblStylePr>
    <w:tblStylePr w:type="band1Vert">
      <w:tcPr>
        <w:shd w:val="clear" w:color="ffffff" w:themeColor="accent5" w:themeTint="34" w:fill="d9e2f2" w:themeFill="accent5" w:themeFillTint="34"/>
      </w:tcPr>
    </w:tblStylePr>
    <w:tblStylePr w:type="band2Horz">
      <w:rPr>
        <w:rFonts w:ascii="Arial" w:hAnsi="Arial"/>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themeColor="accent5" w:sz="12" w:space="0"/>
        </w:tcBorders>
      </w:tcPr>
    </w:tblStylePr>
    <w:tblStylePr w:type="lastCol">
      <w:rPr>
        <w:b/>
        <w:color w:val="254374" w:themeColor="accent5" w:themeShade="95"/>
      </w:rPr>
    </w:tblStylePr>
    <w:tblStylePr w:type="lastRow">
      <w:rPr>
        <w:b/>
        <w:color w:val="254374" w:themeColor="accent5" w:themeShade="95"/>
      </w:rPr>
    </w:tblStylePr>
    <w:tblStylePr w:type="wholeTable">
      <w:rPr>
        <w:rFonts w:ascii="Arial" w:hAnsi="Arial"/>
        <w:color w:val="404040" w:themeColor="accent5" w:themeShade="95"/>
        <w:sz w:val="22"/>
      </w:rPr>
    </w:tblStylePr>
  </w:style>
  <w:style w:type="table" w:styleId="813">
    <w:name w:val="Grid Table 6 Colorful - Accent 6"/>
    <w:basedOn w:val="913"/>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themeColor="accent6" w:sz="12" w:space="0"/>
        </w:tcBorders>
      </w:tcPr>
    </w:tblStylePr>
    <w:tblStylePr w:type="lastCol">
      <w:rPr>
        <w:b/>
        <w:color w:val="254374" w:themeColor="accent5" w:themeShade="95"/>
      </w:rPr>
    </w:tblStylePr>
    <w:tblStylePr w:type="lastRow">
      <w:rPr>
        <w:b/>
        <w:color w:val="254374" w:themeColor="accent5" w:themeShade="95"/>
      </w:rPr>
    </w:tblStylePr>
    <w:tblStylePr w:type="wholeTable">
      <w:rPr>
        <w:rFonts w:ascii="Arial" w:hAnsi="Arial"/>
        <w:color w:val="404040" w:themeColor="accent5" w:themeShade="95"/>
        <w:sz w:val="22"/>
      </w:rPr>
    </w:tblStylePr>
  </w:style>
  <w:style w:type="table" w:styleId="814">
    <w:name w:val="Grid Table 7 Colorful"/>
    <w:basedOn w:val="913"/>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tcBorders>
          <w:top w:val="none" w:color="000000" w:sz="4" w:space="0"/>
          <w:left w:val="none" w:color="000000" w:sz="4" w:space="0"/>
          <w:bottom w:val="none" w:color="000000" w:sz="4" w:space="0"/>
          <w:right w:val="single" w:color="000000" w:themeColor="text1" w:themeTint="80" w:sz="4" w:space="0"/>
        </w:tcBorders>
        <w:shd w:val="clear" w:color="ffffff"/>
      </w:tcPr>
    </w:tblStylePr>
    <w:tblStylePr w:type="firstRow">
      <w:rPr>
        <w:rFonts w:ascii="Arial" w:hAnsi="Arial"/>
        <w:b/>
        <w:color w:val="4a4a4a" w:themeColor="text1" w:themeTint="80" w:themeShade="95"/>
        <w:sz w:val="22"/>
      </w:rPr>
      <w:tcPr>
        <w:tcBorders>
          <w:top w:val="none" w:color="000000" w:sz="4" w:space="0"/>
          <w:left w:val="none" w:color="000000" w:sz="4" w:space="0"/>
          <w:bottom w:val="single" w:color="000000" w:themeColor="text1" w:themeTint="80" w:sz="4" w:space="0"/>
          <w:right w:val="none" w:color="000000" w:sz="4" w:space="0"/>
        </w:tcBorders>
        <w:shd w:val="clear" w:color="ffffff" w:themeColor="light1" w:fill="ffffff" w:themeFill="light1"/>
      </w:tcPr>
    </w:tblStylePr>
    <w:tblStylePr w:type="lastCol">
      <w:rPr>
        <w:rFonts w:ascii="Arial" w:hAnsi="Arial"/>
        <w:i/>
        <w:color w:val="4a4a4a" w:themeColor="text1" w:themeTint="80" w:themeShade="95"/>
        <w:sz w:val="22"/>
      </w:rPr>
      <w:tcPr>
        <w:tcBorders>
          <w:top w:val="none" w:color="000000" w:sz="4" w:space="0"/>
          <w:left w:val="single" w:color="000000" w:themeColor="text1" w:themeTint="80" w:sz="4" w:space="0"/>
          <w:bottom w:val="none" w:color="000000" w:sz="4" w:space="0"/>
          <w:right w:val="none" w:color="000000" w:sz="4" w:space="0"/>
        </w:tcBorders>
        <w:shd w:val="clear" w:color="ffffff"/>
      </w:tcPr>
    </w:tblStylePr>
    <w:tblStylePr w:type="lastRow">
      <w:rPr>
        <w:rFonts w:ascii="Arial" w:hAnsi="Arial"/>
        <w:b/>
        <w:color w:val="4a4a4a" w:themeColor="text1" w:themeTint="80" w:themeShade="95"/>
        <w:sz w:val="22"/>
      </w:rPr>
      <w:tcPr>
        <w:tcBorders>
          <w:top w:val="single" w:color="000000" w:themeColor="text1" w:themeTint="80" w:sz="4" w:space="0"/>
          <w:left w:val="none" w:color="000000" w:sz="4" w:space="0"/>
          <w:bottom w:val="none" w:color="000000" w:sz="4" w:space="0"/>
          <w:right w:val="none" w:color="000000" w:sz="4" w:space="0"/>
        </w:tcBorders>
        <w:shd w:val="clear" w:color="ffffff" w:themeColor="light1" w:fill="ffffff" w:themeFill="light1"/>
      </w:tcPr>
    </w:tblStylePr>
  </w:style>
  <w:style w:type="table" w:styleId="815">
    <w:name w:val="Grid Table 7 Colorful - Accent 1"/>
    <w:basedOn w:val="913"/>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17bba" w:themeColor="accent1" w:themeTint="80" w:themeShade="95"/>
        <w:sz w:val="22"/>
      </w:rPr>
      <w:tcPr>
        <w:shd w:val="clear" w:color="ffffff" w:themeColor="accent1" w:themeTint="34" w:fill="ddebf6" w:themeFill="accent1" w:themeFillTint="34"/>
      </w:tcPr>
    </w:tblStylePr>
    <w:tblStylePr w:type="band1Vert">
      <w:tcPr>
        <w:shd w:val="clear" w:color="ffffff" w:themeColor="accent1" w:themeTint="34" w:fill="ddebf6" w:themeFill="accent1" w:themeFillTint="34"/>
      </w:tcPr>
    </w:tblStylePr>
    <w:tblStylePr w:type="band2Horz">
      <w:rPr>
        <w:rFonts w:ascii="Arial" w:hAnsi="Arial"/>
        <w:color w:val="317bba" w:themeColor="accent1" w:themeTint="80" w:themeShade="95"/>
        <w:sz w:val="22"/>
      </w:rPr>
    </w:tblStylePr>
    <w:tblStylePr w:type="firstCol">
      <w:rPr>
        <w:rFonts w:ascii="Arial" w:hAnsi="Arial"/>
        <w:i/>
        <w:color w:val="317bba" w:themeColor="accent1" w:themeTint="80" w:themeShade="95"/>
        <w:sz w:val="22"/>
      </w:rPr>
      <w:pPr>
        <w:jc w:val="right"/>
      </w:pPr>
      <w:tcPr>
        <w:tcBorders>
          <w:top w:val="none" w:color="000000" w:sz="4" w:space="0"/>
          <w:left w:val="none" w:color="000000" w:sz="4" w:space="0"/>
          <w:bottom w:val="none" w:color="000000" w:sz="4" w:space="0"/>
          <w:right w:val="single" w:color="000000" w:themeColor="accent1" w:themeTint="80" w:sz="4" w:space="0"/>
        </w:tcBorders>
        <w:shd w:val="clear" w:color="ffffff"/>
      </w:tcPr>
    </w:tblStylePr>
    <w:tblStylePr w:type="firstRow">
      <w:rPr>
        <w:rFonts w:ascii="Arial" w:hAnsi="Arial"/>
        <w:b/>
        <w:color w:val="317bba" w:themeColor="accent1" w:themeTint="80" w:themeShade="95"/>
        <w:sz w:val="22"/>
      </w:rPr>
      <w:tcPr>
        <w:tcBorders>
          <w:top w:val="none" w:color="000000" w:sz="4" w:space="0"/>
          <w:left w:val="none" w:color="000000" w:sz="4" w:space="0"/>
          <w:bottom w:val="single" w:color="000000" w:themeColor="accent1" w:themeTint="80" w:sz="4" w:space="0"/>
          <w:right w:val="none" w:color="000000" w:sz="4" w:space="0"/>
        </w:tcBorders>
        <w:shd w:val="clear" w:color="ffffff" w:themeColor="light1" w:fill="ffffff" w:themeFill="light1"/>
      </w:tcPr>
    </w:tblStylePr>
    <w:tblStylePr w:type="lastCol">
      <w:rPr>
        <w:rFonts w:ascii="Arial" w:hAnsi="Arial"/>
        <w:i/>
        <w:color w:val="317bba" w:themeColor="accent1" w:themeTint="80" w:themeShade="95"/>
        <w:sz w:val="22"/>
      </w:rPr>
      <w:tcPr>
        <w:tcBorders>
          <w:top w:val="none" w:color="000000" w:sz="4" w:space="0"/>
          <w:left w:val="single" w:color="000000" w:themeColor="accent1" w:themeTint="80" w:sz="4" w:space="0"/>
          <w:bottom w:val="none" w:color="000000" w:sz="4" w:space="0"/>
          <w:right w:val="none" w:color="000000" w:sz="4" w:space="0"/>
        </w:tcBorders>
        <w:shd w:val="clear" w:color="ffffff"/>
      </w:tcPr>
    </w:tblStylePr>
    <w:tblStylePr w:type="lastRow">
      <w:rPr>
        <w:rFonts w:ascii="Arial" w:hAnsi="Arial"/>
        <w:b/>
        <w:color w:val="317bba" w:themeColor="accent1" w:themeTint="80" w:themeShade="95"/>
        <w:sz w:val="22"/>
      </w:rPr>
      <w:tcPr>
        <w:tcBorders>
          <w:top w:val="single" w:color="000000" w:themeColor="accent1" w:themeTint="80" w:sz="4" w:space="0"/>
          <w:left w:val="none" w:color="000000" w:sz="4" w:space="0"/>
          <w:bottom w:val="none" w:color="000000" w:sz="4" w:space="0"/>
          <w:right w:val="none" w:color="000000" w:sz="4" w:space="0"/>
        </w:tcBorders>
        <w:shd w:val="clear" w:color="ffffff" w:themeColor="light1" w:fill="ffffff" w:themeFill="light1"/>
      </w:tcPr>
    </w:tblStylePr>
  </w:style>
  <w:style w:type="table" w:styleId="816">
    <w:name w:val="Grid Table 7 Colorful - Accent 2"/>
    <w:basedOn w:val="913"/>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tcBorders>
          <w:top w:val="none" w:color="000000" w:sz="4" w:space="0"/>
          <w:left w:val="none" w:color="000000" w:sz="4" w:space="0"/>
          <w:bottom w:val="none" w:color="000000" w:sz="4" w:space="0"/>
          <w:right w:val="single" w:color="000000" w:themeColor="accent2" w:themeTint="97" w:sz="4" w:space="0"/>
        </w:tcBorders>
        <w:shd w:val="clear" w:color="ffffff"/>
      </w:tcPr>
    </w:tblStylePr>
    <w:tblStylePr w:type="firstRow">
      <w:rPr>
        <w:rFonts w:ascii="Arial" w:hAnsi="Arial"/>
        <w:b/>
        <w:color w:val="c95712" w:themeColor="accent2" w:themeTint="97" w:themeShade="95"/>
        <w:sz w:val="22"/>
      </w:rPr>
      <w:tcPr>
        <w:tcBorders>
          <w:top w:val="none" w:color="000000" w:sz="4" w:space="0"/>
          <w:left w:val="none" w:color="000000" w:sz="4" w:space="0"/>
          <w:bottom w:val="single" w:color="000000" w:themeColor="accent2" w:themeTint="97" w:sz="4" w:space="0"/>
          <w:right w:val="none" w:color="000000" w:sz="4" w:space="0"/>
        </w:tcBorders>
        <w:shd w:val="clear" w:color="ffffff" w:themeColor="light1" w:fill="ffffff" w:themeFill="light1"/>
      </w:tcPr>
    </w:tblStylePr>
    <w:tblStylePr w:type="lastCol">
      <w:rPr>
        <w:rFonts w:ascii="Arial" w:hAnsi="Arial"/>
        <w:i/>
        <w:color w:val="c95712" w:themeColor="accent2" w:themeTint="97" w:themeShade="95"/>
        <w:sz w:val="22"/>
      </w:rPr>
      <w:tcPr>
        <w:tcBorders>
          <w:top w:val="none" w:color="000000" w:sz="4" w:space="0"/>
          <w:left w:val="single" w:color="000000" w:themeColor="accent2" w:themeTint="97" w:sz="4" w:space="0"/>
          <w:bottom w:val="none" w:color="000000" w:sz="4" w:space="0"/>
          <w:right w:val="none" w:color="000000" w:sz="4" w:space="0"/>
        </w:tcBorders>
        <w:shd w:val="clear" w:color="ffffff"/>
      </w:tcPr>
    </w:tblStylePr>
    <w:tblStylePr w:type="lastRow">
      <w:rPr>
        <w:rFonts w:ascii="Arial" w:hAnsi="Arial"/>
        <w:b/>
        <w:color w:val="c95712" w:themeColor="accent2" w:themeTint="97" w:themeShade="95"/>
        <w:sz w:val="22"/>
      </w:rPr>
      <w:tcPr>
        <w:tcBorders>
          <w:top w:val="single" w:color="000000" w:themeColor="accent2" w:themeTint="97" w:sz="4" w:space="0"/>
          <w:left w:val="none" w:color="000000" w:sz="4" w:space="0"/>
          <w:bottom w:val="none" w:color="000000" w:sz="4" w:space="0"/>
          <w:right w:val="none" w:color="000000" w:sz="4" w:space="0"/>
        </w:tcBorders>
        <w:shd w:val="clear" w:color="ffffff" w:themeColor="light1" w:fill="ffffff" w:themeFill="light1"/>
      </w:tcPr>
    </w:tblStylePr>
  </w:style>
  <w:style w:type="table" w:styleId="817">
    <w:name w:val="Grid Table 7 Colorful - Accent 3"/>
    <w:basedOn w:val="913"/>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60606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606060" w:themeColor="accent3" w:themeTint="FE" w:themeShade="95"/>
        <w:sz w:val="22"/>
      </w:rPr>
    </w:tblStylePr>
    <w:tblStylePr w:type="firstCol">
      <w:rPr>
        <w:rFonts w:ascii="Arial" w:hAnsi="Arial"/>
        <w:i/>
        <w:color w:val="606060" w:themeColor="accent3" w:themeTint="FE" w:themeShade="95"/>
        <w:sz w:val="22"/>
      </w:rPr>
      <w:pPr>
        <w:jc w:val="right"/>
      </w:pPr>
      <w:tcPr>
        <w:tcBorders>
          <w:top w:val="none" w:color="000000" w:sz="4" w:space="0"/>
          <w:left w:val="none" w:color="000000" w:sz="4" w:space="0"/>
          <w:bottom w:val="none" w:color="000000" w:sz="4" w:space="0"/>
          <w:right w:val="single" w:color="000000" w:themeColor="accent3" w:themeTint="FE" w:sz="4" w:space="0"/>
        </w:tcBorders>
        <w:shd w:val="clear" w:color="ffffff"/>
      </w:tcPr>
    </w:tblStylePr>
    <w:tblStylePr w:type="firstRow">
      <w:rPr>
        <w:rFonts w:ascii="Arial" w:hAnsi="Arial"/>
        <w:b/>
        <w:color w:val="606060" w:themeColor="accent3" w:themeTint="FE" w:themeShade="95"/>
        <w:sz w:val="22"/>
      </w:rPr>
      <w:tcPr>
        <w:tcBorders>
          <w:top w:val="none" w:color="000000" w:sz="4" w:space="0"/>
          <w:left w:val="none" w:color="000000" w:sz="4" w:space="0"/>
          <w:bottom w:val="single" w:color="000000" w:themeColor="accent3" w:themeTint="FE" w:sz="4" w:space="0"/>
          <w:right w:val="none" w:color="000000" w:sz="4" w:space="0"/>
        </w:tcBorders>
        <w:shd w:val="clear" w:color="ffffff" w:themeColor="light1" w:fill="ffffff" w:themeFill="light1"/>
      </w:tcPr>
    </w:tblStylePr>
    <w:tblStylePr w:type="lastCol">
      <w:rPr>
        <w:rFonts w:ascii="Arial" w:hAnsi="Arial"/>
        <w:i/>
        <w:color w:val="606060" w:themeColor="accent3" w:themeTint="FE" w:themeShade="95"/>
        <w:sz w:val="22"/>
      </w:rPr>
      <w:tcPr>
        <w:tcBorders>
          <w:top w:val="none" w:color="000000" w:sz="4" w:space="0"/>
          <w:left w:val="single" w:color="000000" w:themeColor="accent3" w:themeTint="FE" w:sz="4" w:space="0"/>
          <w:bottom w:val="none" w:color="000000" w:sz="4" w:space="0"/>
          <w:right w:val="none" w:color="000000" w:sz="4" w:space="0"/>
        </w:tcBorders>
        <w:shd w:val="clear" w:color="ffffff"/>
      </w:tcPr>
    </w:tblStylePr>
    <w:tblStylePr w:type="lastRow">
      <w:rPr>
        <w:rFonts w:ascii="Arial" w:hAnsi="Arial"/>
        <w:b/>
        <w:color w:val="606060" w:themeColor="accent3" w:themeTint="FE" w:themeShade="95"/>
        <w:sz w:val="22"/>
      </w:rPr>
      <w:tcPr>
        <w:tcBorders>
          <w:top w:val="single" w:color="000000" w:themeColor="accent3" w:themeTint="FE" w:sz="4" w:space="0"/>
          <w:left w:val="none" w:color="000000" w:sz="4" w:space="0"/>
          <w:bottom w:val="none" w:color="000000" w:sz="4" w:space="0"/>
          <w:right w:val="none" w:color="000000" w:sz="4" w:space="0"/>
        </w:tcBorders>
        <w:shd w:val="clear" w:color="ffffff" w:themeColor="light1" w:fill="ffffff" w:themeFill="light1"/>
      </w:tcPr>
    </w:tblStylePr>
  </w:style>
  <w:style w:type="table" w:styleId="818">
    <w:name w:val="Grid Table 7 Colorful - Accent 4"/>
    <w:basedOn w:val="913"/>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tcBorders>
          <w:top w:val="none" w:color="000000" w:sz="4" w:space="0"/>
          <w:left w:val="none" w:color="000000" w:sz="4" w:space="0"/>
          <w:bottom w:val="none" w:color="000000" w:sz="4" w:space="0"/>
          <w:right w:val="single" w:color="000000" w:themeColor="accent4" w:themeTint="9A" w:sz="4" w:space="0"/>
        </w:tcBorders>
        <w:shd w:val="clear" w:color="ffffff"/>
      </w:tcPr>
    </w:tblStylePr>
    <w:tblStylePr w:type="firstRow">
      <w:rPr>
        <w:rFonts w:ascii="Arial" w:hAnsi="Arial"/>
        <w:b/>
        <w:color w:val="cd9600" w:themeColor="accent4" w:themeTint="9A" w:themeShade="95"/>
        <w:sz w:val="22"/>
      </w:rPr>
      <w:tcPr>
        <w:tcBorders>
          <w:top w:val="none" w:color="000000" w:sz="4" w:space="0"/>
          <w:left w:val="none" w:color="000000" w:sz="4" w:space="0"/>
          <w:bottom w:val="single" w:color="000000" w:themeColor="accent4" w:themeTint="9A" w:sz="4" w:space="0"/>
          <w:right w:val="none" w:color="000000" w:sz="4" w:space="0"/>
        </w:tcBorders>
        <w:shd w:val="clear" w:color="ffffff" w:themeColor="light1" w:fill="ffffff" w:themeFill="light1"/>
      </w:tcPr>
    </w:tblStylePr>
    <w:tblStylePr w:type="lastCol">
      <w:rPr>
        <w:rFonts w:ascii="Arial" w:hAnsi="Arial"/>
        <w:i/>
        <w:color w:val="cd9600" w:themeColor="accent4" w:themeTint="9A" w:themeShade="95"/>
        <w:sz w:val="22"/>
      </w:rPr>
      <w:tcPr>
        <w:tcBorders>
          <w:top w:val="none" w:color="000000" w:sz="4" w:space="0"/>
          <w:left w:val="single" w:color="000000" w:themeColor="accent4" w:themeTint="9A" w:sz="4" w:space="0"/>
          <w:bottom w:val="none" w:color="000000" w:sz="4" w:space="0"/>
          <w:right w:val="none" w:color="000000" w:sz="4" w:space="0"/>
        </w:tcBorders>
        <w:shd w:val="clear" w:color="ffffff"/>
      </w:tcPr>
    </w:tblStylePr>
    <w:tblStylePr w:type="lastRow">
      <w:rPr>
        <w:rFonts w:ascii="Arial" w:hAnsi="Arial"/>
        <w:b/>
        <w:color w:val="cd9600" w:themeColor="accent4" w:themeTint="9A" w:themeShade="95"/>
        <w:sz w:val="22"/>
      </w:rPr>
      <w:tcPr>
        <w:tcBorders>
          <w:top w:val="single" w:color="000000" w:themeColor="accent4" w:themeTint="9A" w:sz="4" w:space="0"/>
          <w:left w:val="none" w:color="000000" w:sz="4" w:space="0"/>
          <w:bottom w:val="none" w:color="000000" w:sz="4" w:space="0"/>
          <w:right w:val="none" w:color="000000" w:sz="4" w:space="0"/>
        </w:tcBorders>
        <w:shd w:val="clear" w:color="ffffff" w:themeColor="light1" w:fill="ffffff" w:themeFill="light1"/>
      </w:tcPr>
    </w:tblStylePr>
  </w:style>
  <w:style w:type="table" w:styleId="819">
    <w:name w:val="Grid Table 7 Colorful - Accent 5"/>
    <w:basedOn w:val="913"/>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54374" w:themeColor="accent5" w:themeShade="95"/>
        <w:sz w:val="22"/>
      </w:rPr>
      <w:tcPr>
        <w:shd w:val="clear" w:color="ffffff" w:themeColor="accent5" w:themeTint="34" w:fill="d9e2f2" w:themeFill="accent5" w:themeFillTint="34"/>
      </w:tcPr>
    </w:tblStylePr>
    <w:tblStylePr w:type="band1Vert">
      <w:tcPr>
        <w:shd w:val="clear" w:color="ffffff" w:themeColor="accent5" w:themeTint="34" w:fill="d9e2f2" w:themeFill="accent5" w:themeFillTint="34"/>
      </w:tcPr>
    </w:tblStylePr>
    <w:tblStylePr w:type="band2Horz">
      <w:rPr>
        <w:rFonts w:ascii="Arial" w:hAnsi="Arial"/>
        <w:color w:val="254374" w:themeColor="accent5" w:themeShade="95"/>
        <w:sz w:val="22"/>
      </w:rPr>
    </w:tblStylePr>
    <w:tblStylePr w:type="firstCol">
      <w:rPr>
        <w:rFonts w:ascii="Arial" w:hAnsi="Arial"/>
        <w:i/>
        <w:color w:val="254374" w:themeColor="accent5" w:themeShade="95"/>
        <w:sz w:val="22"/>
      </w:rPr>
      <w:pPr>
        <w:jc w:val="right"/>
      </w:pPr>
      <w:tcPr>
        <w:tcBorders>
          <w:top w:val="none" w:color="000000" w:sz="4" w:space="0"/>
          <w:left w:val="none" w:color="000000" w:sz="4" w:space="0"/>
          <w:bottom w:val="none" w:color="000000" w:sz="4" w:space="0"/>
          <w:right w:val="single" w:color="000000" w:themeColor="accent5" w:themeTint="90" w:sz="4" w:space="0"/>
        </w:tcBorders>
        <w:shd w:val="clear" w:color="ffffff"/>
      </w:tcPr>
    </w:tblStylePr>
    <w:tblStylePr w:type="firstRow">
      <w:rPr>
        <w:rFonts w:ascii="Arial" w:hAnsi="Arial"/>
        <w:b/>
        <w:color w:val="254374" w:themeColor="accent5" w:themeShade="95"/>
        <w:sz w:val="22"/>
      </w:rPr>
      <w:tcPr>
        <w:tcBorders>
          <w:top w:val="none" w:color="000000" w:sz="4" w:space="0"/>
          <w:left w:val="none" w:color="000000" w:sz="4" w:space="0"/>
          <w:bottom w:val="single" w:color="000000" w:themeColor="accent5" w:themeTint="90" w:sz="4" w:space="0"/>
          <w:right w:val="none" w:color="000000" w:sz="4" w:space="0"/>
        </w:tcBorders>
        <w:shd w:val="clear" w:color="ffffff" w:themeColor="light1" w:fill="ffffff" w:themeFill="light1"/>
      </w:tcPr>
    </w:tblStylePr>
    <w:tblStylePr w:type="lastCol">
      <w:rPr>
        <w:rFonts w:ascii="Arial" w:hAnsi="Arial"/>
        <w:i/>
        <w:color w:val="254374" w:themeColor="accent5" w:themeShade="95"/>
        <w:sz w:val="22"/>
      </w:rPr>
      <w:tcPr>
        <w:tcBorders>
          <w:top w:val="none" w:color="000000" w:sz="4" w:space="0"/>
          <w:left w:val="single" w:color="000000" w:themeColor="accent5" w:themeTint="90" w:sz="4" w:space="0"/>
          <w:bottom w:val="none" w:color="000000" w:sz="4" w:space="0"/>
          <w:right w:val="none" w:color="000000" w:sz="4" w:space="0"/>
        </w:tcBorders>
        <w:shd w:val="clear" w:color="ffffff"/>
      </w:tcPr>
    </w:tblStylePr>
    <w:tblStylePr w:type="lastRow">
      <w:rPr>
        <w:rFonts w:ascii="Arial" w:hAnsi="Arial"/>
        <w:b/>
        <w:color w:val="254374" w:themeColor="accent5" w:themeShade="95"/>
        <w:sz w:val="22"/>
      </w:rPr>
      <w:tcPr>
        <w:tcBorders>
          <w:top w:val="single" w:color="000000" w:themeColor="accent5" w:themeTint="90" w:sz="4" w:space="0"/>
          <w:left w:val="none" w:color="000000" w:sz="4" w:space="0"/>
          <w:bottom w:val="none" w:color="000000" w:sz="4" w:space="0"/>
          <w:right w:val="none" w:color="000000" w:sz="4" w:space="0"/>
        </w:tcBorders>
        <w:shd w:val="clear" w:color="ffffff" w:themeColor="light1" w:fill="ffffff" w:themeFill="light1"/>
      </w:tcPr>
    </w:tblStylePr>
  </w:style>
  <w:style w:type="table" w:styleId="820">
    <w:name w:val="Grid Table 7 Colorful - Accent 6"/>
    <w:basedOn w:val="913"/>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26429" w:themeColor="accent6"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26429" w:themeColor="accent6" w:themeShade="95"/>
        <w:sz w:val="22"/>
      </w:rPr>
    </w:tblStylePr>
    <w:tblStylePr w:type="firstCol">
      <w:rPr>
        <w:rFonts w:ascii="Arial" w:hAnsi="Arial"/>
        <w:i/>
        <w:color w:val="426429" w:themeColor="accent6" w:themeShade="95"/>
        <w:sz w:val="22"/>
      </w:rPr>
      <w:pPr>
        <w:jc w:val="right"/>
      </w:pPr>
      <w:tcPr>
        <w:tcBorders>
          <w:top w:val="none" w:color="000000" w:sz="4" w:space="0"/>
          <w:left w:val="none" w:color="000000" w:sz="4" w:space="0"/>
          <w:bottom w:val="none" w:color="000000" w:sz="4" w:space="0"/>
          <w:right w:val="single" w:color="000000" w:themeColor="accent6" w:themeTint="90" w:sz="4" w:space="0"/>
        </w:tcBorders>
        <w:shd w:val="clear" w:color="ffffff"/>
      </w:tcPr>
    </w:tblStylePr>
    <w:tblStylePr w:type="firstRow">
      <w:rPr>
        <w:rFonts w:ascii="Arial" w:hAnsi="Arial"/>
        <w:b/>
        <w:color w:val="426429" w:themeColor="accent6" w:themeShade="95"/>
        <w:sz w:val="22"/>
      </w:rPr>
      <w:tcPr>
        <w:tcBorders>
          <w:top w:val="none" w:color="000000" w:sz="4" w:space="0"/>
          <w:left w:val="none" w:color="000000" w:sz="4" w:space="0"/>
          <w:bottom w:val="single" w:color="000000" w:themeColor="accent6" w:themeTint="90" w:sz="4" w:space="0"/>
          <w:right w:val="none" w:color="000000" w:sz="4" w:space="0"/>
        </w:tcBorders>
        <w:shd w:val="clear" w:color="ffffff" w:themeColor="light1" w:fill="ffffff" w:themeFill="light1"/>
      </w:tcPr>
    </w:tblStylePr>
    <w:tblStylePr w:type="lastCol">
      <w:rPr>
        <w:rFonts w:ascii="Arial" w:hAnsi="Arial"/>
        <w:i/>
        <w:color w:val="426429" w:themeColor="accent6" w:themeShade="95"/>
        <w:sz w:val="22"/>
      </w:rPr>
      <w:tcPr>
        <w:tcBorders>
          <w:top w:val="none" w:color="000000" w:sz="4" w:space="0"/>
          <w:left w:val="single" w:color="000000" w:themeColor="accent6" w:themeTint="90" w:sz="4" w:space="0"/>
          <w:bottom w:val="none" w:color="000000" w:sz="4" w:space="0"/>
          <w:right w:val="none" w:color="000000" w:sz="4" w:space="0"/>
        </w:tcBorders>
        <w:shd w:val="clear" w:color="ffffff"/>
      </w:tcPr>
    </w:tblStylePr>
    <w:tblStylePr w:type="lastRow">
      <w:rPr>
        <w:rFonts w:ascii="Arial" w:hAnsi="Arial"/>
        <w:b/>
        <w:color w:val="426429" w:themeColor="accent6" w:themeShade="95"/>
        <w:sz w:val="22"/>
      </w:rPr>
      <w:tcPr>
        <w:tcBorders>
          <w:top w:val="single" w:color="000000" w:themeColor="accent6" w:themeTint="90" w:sz="4" w:space="0"/>
          <w:left w:val="none" w:color="000000" w:sz="4" w:space="0"/>
          <w:bottom w:val="none" w:color="000000" w:sz="4" w:space="0"/>
          <w:right w:val="none" w:color="000000" w:sz="4" w:space="0"/>
        </w:tcBorders>
        <w:shd w:val="clear" w:color="ffffff" w:themeColor="light1" w:fill="ffffff" w:themeFill="light1"/>
      </w:tcPr>
    </w:tblStylePr>
  </w:style>
  <w:style w:type="table" w:styleId="821">
    <w:name w:val="List Table 1 Light"/>
    <w:basedOn w:val="913"/>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822">
    <w:name w:val="List Table 1 Light - Accent 1"/>
    <w:basedOn w:val="913"/>
    <w:uiPriority w:val="99"/>
    <w:pPr>
      <w:spacing w:after="0" w:line="240" w:lineRule="auto"/>
    </w:pPr>
    <w:tblPr>
      <w:tblStyleRowBandSize w:val="1"/>
      <w:tblStyleColBandSize w:val="1"/>
      <w:tblInd w:w="0" w:type="dxa"/>
    </w:tblPr>
    <w:tblStylePr w:type="band1Horz">
      <w:tcPr>
        <w:shd w:val="clear" w:color="ffffff" w:themeColor="accent1" w:themeTint="40" w:fill="d5e6f4" w:themeFill="accent1" w:themeFillTint="40"/>
      </w:tcPr>
    </w:tblStylePr>
    <w:tblStylePr w:type="band1Vert">
      <w:tcPr>
        <w:shd w:val="clear" w:color="ffffff" w:themeColor="accent1" w:themeTint="40" w:fill="d5e6f4"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823">
    <w:name w:val="List Table 1 Light - Accent 2"/>
    <w:basedOn w:val="913"/>
    <w:uiPriority w:val="99"/>
    <w:pPr>
      <w:spacing w:after="0" w:line="240" w:lineRule="auto"/>
    </w:pPr>
    <w:tblPr>
      <w:tblStyleRowBandSize w:val="1"/>
      <w:tblStyleColBandSize w:val="1"/>
      <w:tblInd w:w="0" w:type="dxa"/>
    </w:tblPr>
    <w:tblStylePr w:type="band1Horz">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824">
    <w:name w:val="List Table 1 Light - Accent 3"/>
    <w:basedOn w:val="913"/>
    <w:uiPriority w:val="99"/>
    <w:pPr>
      <w:spacing w:after="0" w:line="240" w:lineRule="auto"/>
    </w:pPr>
    <w:tblPr>
      <w:tblStyleRowBandSize w:val="1"/>
      <w:tblStyleColBandSize w:val="1"/>
      <w:tblInd w:w="0" w:type="dxa"/>
    </w:tblPr>
    <w:tblStylePr w:type="band1Horz">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825">
    <w:name w:val="List Table 1 Light - Accent 4"/>
    <w:basedOn w:val="913"/>
    <w:uiPriority w:val="99"/>
    <w:pPr>
      <w:spacing w:after="0" w:line="240" w:lineRule="auto"/>
    </w:pPr>
    <w:tblPr>
      <w:tblStyleRowBandSize w:val="1"/>
      <w:tblStyleColBandSize w:val="1"/>
      <w:tblInd w:w="0" w:type="dxa"/>
    </w:tblPr>
    <w:tblStylePr w:type="band1Horz">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826">
    <w:name w:val="List Table 1 Light - Accent 5"/>
    <w:basedOn w:val="913"/>
    <w:uiPriority w:val="99"/>
    <w:pPr>
      <w:spacing w:after="0" w:line="240" w:lineRule="auto"/>
    </w:pPr>
    <w:tblPr>
      <w:tblStyleRowBandSize w:val="1"/>
      <w:tblStyleColBandSize w:val="1"/>
      <w:tblInd w:w="0" w:type="dxa"/>
    </w:tblPr>
    <w:tblStylePr w:type="band1Horz">
      <w:tcPr>
        <w:shd w:val="clear" w:color="ffffff" w:themeColor="accent5" w:themeTint="40" w:fill="cfdcf0" w:themeFill="accent5" w:themeFillTint="40"/>
      </w:tcPr>
    </w:tblStylePr>
    <w:tblStylePr w:type="band1Vert">
      <w:tcPr>
        <w:shd w:val="clear" w:color="ffffff" w:themeColor="accent5" w:themeTint="40" w:fill="cfdc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827">
    <w:name w:val="List Table 1 Light - Accent 6"/>
    <w:basedOn w:val="913"/>
    <w:uiPriority w:val="99"/>
    <w:pPr>
      <w:spacing w:after="0" w:line="240" w:lineRule="auto"/>
    </w:pPr>
    <w:tblPr>
      <w:tblStyleRowBandSize w:val="1"/>
      <w:tblStyleColBandSize w:val="1"/>
      <w:tblInd w:w="0" w:type="dxa"/>
    </w:tblPr>
    <w:tblStylePr w:type="band1Horz">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828">
    <w:name w:val="List Table 2"/>
    <w:basedOn w:val="913"/>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829">
    <w:name w:val="List Table 2 - Accent 1"/>
    <w:basedOn w:val="913"/>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5e6f4" w:themeFill="accent1" w:themeFillTint="40"/>
      </w:tcPr>
    </w:tblStylePr>
    <w:tblStylePr w:type="band1Vert">
      <w:rPr>
        <w:rFonts w:ascii="Arial" w:hAnsi="Arial"/>
        <w:color w:val="404040"/>
        <w:sz w:val="22"/>
      </w:rPr>
      <w:tcPr>
        <w:shd w:val="clear" w:color="ffffff" w:themeColor="accent1" w:themeTint="40" w:fill="d5e6f4"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830">
    <w:name w:val="List Table 2 - Accent 2"/>
    <w:basedOn w:val="913"/>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831">
    <w:name w:val="List Table 2 - Accent 3"/>
    <w:basedOn w:val="913"/>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832">
    <w:name w:val="List Table 2 - Accent 4"/>
    <w:basedOn w:val="913"/>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833">
    <w:name w:val="List Table 2 - Accent 5"/>
    <w:basedOn w:val="913"/>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cfdcf0" w:themeFill="accent5" w:themeFillTint="40"/>
      </w:tcPr>
    </w:tblStylePr>
    <w:tblStylePr w:type="band1Vert">
      <w:rPr>
        <w:rFonts w:ascii="Arial" w:hAnsi="Arial"/>
        <w:color w:val="404040"/>
        <w:sz w:val="22"/>
      </w:rPr>
      <w:tcPr>
        <w:shd w:val="clear" w:color="ffffff" w:themeColor="accent5" w:themeTint="40" w:fill="cfdc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834">
    <w:name w:val="List Table 2 - Accent 6"/>
    <w:basedOn w:val="913"/>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835">
    <w:name w:val="List Table 3"/>
    <w:basedOn w:val="913"/>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836">
    <w:name w:val="List Table 3 - Accent 1"/>
    <w:basedOn w:val="913"/>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5b9bd5" w:themeFill="accent1"/>
      </w:tcPr>
    </w:tblStylePr>
    <w:tblStylePr w:type="lastCol">
      <w:rPr>
        <w:b/>
        <w:color w:val="404040"/>
      </w:rPr>
    </w:tblStylePr>
    <w:tblStylePr w:type="lastRow">
      <w:rPr>
        <w:b/>
        <w:color w:val="404040"/>
      </w:rPr>
    </w:tblStylePr>
  </w:style>
  <w:style w:type="table" w:styleId="837">
    <w:name w:val="List Table 3 - Accent 2"/>
    <w:basedOn w:val="913"/>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Pr>
    </w:tblStylePr>
    <w:tblStylePr w:type="lastCol">
      <w:rPr>
        <w:b/>
        <w:color w:val="404040"/>
      </w:rPr>
    </w:tblStylePr>
    <w:tblStylePr w:type="lastRow">
      <w:rPr>
        <w:b/>
        <w:color w:val="404040"/>
      </w:rPr>
    </w:tblStylePr>
  </w:style>
  <w:style w:type="table" w:styleId="838">
    <w:name w:val="List Table 3 - Accent 3"/>
    <w:basedOn w:val="913"/>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9c9c9" w:themeFill="accent3" w:themeFillTint="98"/>
      </w:tcPr>
    </w:tblStylePr>
    <w:tblStylePr w:type="lastCol">
      <w:rPr>
        <w:b/>
        <w:color w:val="404040"/>
      </w:rPr>
    </w:tblStylePr>
    <w:tblStylePr w:type="lastRow">
      <w:rPr>
        <w:b/>
        <w:color w:val="404040"/>
      </w:rPr>
    </w:tblStylePr>
  </w:style>
  <w:style w:type="table" w:styleId="839">
    <w:name w:val="List Table 3 - Accent 4"/>
    <w:basedOn w:val="913"/>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Pr>
    </w:tblStylePr>
    <w:tblStylePr w:type="lastCol">
      <w:rPr>
        <w:b/>
        <w:color w:val="404040"/>
      </w:rPr>
    </w:tblStylePr>
    <w:tblStylePr w:type="lastRow">
      <w:rPr>
        <w:b/>
        <w:color w:val="404040"/>
      </w:rPr>
    </w:tblStylePr>
  </w:style>
  <w:style w:type="table" w:styleId="840">
    <w:name w:val="List Table 3 - Accent 5"/>
    <w:basedOn w:val="913"/>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8eabdb" w:themeFill="accent5" w:themeFillTint="9A"/>
      </w:tcPr>
    </w:tblStylePr>
    <w:tblStylePr w:type="lastCol">
      <w:rPr>
        <w:b/>
        <w:color w:val="404040"/>
      </w:rPr>
    </w:tblStylePr>
    <w:tblStylePr w:type="lastRow">
      <w:rPr>
        <w:b/>
        <w:color w:val="404040"/>
      </w:rPr>
    </w:tblStylePr>
  </w:style>
  <w:style w:type="table" w:styleId="841">
    <w:name w:val="List Table 3 - Accent 6"/>
    <w:basedOn w:val="913"/>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aad08f" w:themeFill="accent6" w:themeFillTint="98"/>
      </w:tcPr>
    </w:tblStylePr>
    <w:tblStylePr w:type="lastCol">
      <w:rPr>
        <w:b/>
        <w:color w:val="404040"/>
      </w:rPr>
    </w:tblStylePr>
    <w:tblStylePr w:type="lastRow">
      <w:rPr>
        <w:b/>
        <w:color w:val="404040"/>
      </w:rPr>
    </w:tblStylePr>
  </w:style>
  <w:style w:type="table" w:styleId="842">
    <w:name w:val="List Table 4"/>
    <w:basedOn w:val="913"/>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843">
    <w:name w:val="List Table 4 - Accent 1"/>
    <w:basedOn w:val="913"/>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5e6f4" w:themeFill="accent1" w:themeFillTint="40"/>
      </w:tcPr>
    </w:tblStylePr>
    <w:tblStylePr w:type="band1Vert">
      <w:rPr>
        <w:rFonts w:ascii="Arial" w:hAnsi="Arial"/>
        <w:color w:val="404040"/>
        <w:sz w:val="22"/>
      </w:rPr>
      <w:tcPr>
        <w:shd w:val="clear" w:color="ffffff" w:themeColor="accent1" w:themeTint="40" w:fill="d5e6f4"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5b9bd5" w:themeFill="accent1"/>
      </w:tcPr>
    </w:tblStylePr>
    <w:tblStylePr w:type="lastCol">
      <w:rPr>
        <w:b/>
        <w:color w:val="404040"/>
      </w:rPr>
    </w:tblStylePr>
    <w:tblStylePr w:type="lastRow">
      <w:rPr>
        <w:b/>
        <w:color w:val="404040"/>
      </w:rPr>
    </w:tblStylePr>
  </w:style>
  <w:style w:type="table" w:styleId="844">
    <w:name w:val="List Table 4 - Accent 2"/>
    <w:basedOn w:val="913"/>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ed7d31" w:themeFill="accent2"/>
      </w:tcPr>
    </w:tblStylePr>
    <w:tblStylePr w:type="lastCol">
      <w:rPr>
        <w:b/>
        <w:color w:val="404040"/>
      </w:rPr>
    </w:tblStylePr>
    <w:tblStylePr w:type="lastRow">
      <w:rPr>
        <w:b/>
        <w:color w:val="404040"/>
      </w:rPr>
    </w:tblStylePr>
  </w:style>
  <w:style w:type="table" w:styleId="845">
    <w:name w:val="List Table 4 - Accent 3"/>
    <w:basedOn w:val="913"/>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a5a5a5" w:themeFill="accent3"/>
      </w:tcPr>
    </w:tblStylePr>
    <w:tblStylePr w:type="lastCol">
      <w:rPr>
        <w:b/>
        <w:color w:val="404040"/>
      </w:rPr>
    </w:tblStylePr>
    <w:tblStylePr w:type="lastRow">
      <w:rPr>
        <w:b/>
        <w:color w:val="404040"/>
      </w:rPr>
    </w:tblStylePr>
  </w:style>
  <w:style w:type="table" w:styleId="846">
    <w:name w:val="List Table 4 - Accent 4"/>
    <w:basedOn w:val="913"/>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ffc000" w:themeFill="accent4"/>
      </w:tcPr>
    </w:tblStylePr>
    <w:tblStylePr w:type="lastCol">
      <w:rPr>
        <w:b/>
        <w:color w:val="404040"/>
      </w:rPr>
    </w:tblStylePr>
    <w:tblStylePr w:type="lastRow">
      <w:rPr>
        <w:b/>
        <w:color w:val="404040"/>
      </w:rPr>
    </w:tblStylePr>
  </w:style>
  <w:style w:type="table" w:styleId="847">
    <w:name w:val="List Table 4 - Accent 5"/>
    <w:basedOn w:val="913"/>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cfdcf0" w:themeFill="accent5" w:themeFillTint="40"/>
      </w:tcPr>
    </w:tblStylePr>
    <w:tblStylePr w:type="band1Vert">
      <w:rPr>
        <w:rFonts w:ascii="Arial" w:hAnsi="Arial"/>
        <w:color w:val="404040"/>
        <w:sz w:val="22"/>
      </w:rPr>
      <w:tcPr>
        <w:shd w:val="clear" w:color="ffffff" w:themeColor="accent5" w:themeTint="40" w:fill="cfdc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472c4" w:themeFill="accent5"/>
      </w:tcPr>
    </w:tblStylePr>
    <w:tblStylePr w:type="lastCol">
      <w:rPr>
        <w:b/>
        <w:color w:val="404040"/>
      </w:rPr>
    </w:tblStylePr>
    <w:tblStylePr w:type="lastRow">
      <w:rPr>
        <w:b/>
        <w:color w:val="404040"/>
      </w:rPr>
    </w:tblStylePr>
  </w:style>
  <w:style w:type="table" w:styleId="848">
    <w:name w:val="List Table 4 - Accent 6"/>
    <w:basedOn w:val="913"/>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70ad47" w:themeFill="accent6"/>
      </w:tcPr>
    </w:tblStylePr>
    <w:tblStylePr w:type="lastCol">
      <w:rPr>
        <w:b/>
        <w:color w:val="404040"/>
      </w:rPr>
    </w:tblStylePr>
    <w:tblStylePr w:type="lastRow">
      <w:rPr>
        <w:b/>
        <w:color w:val="404040"/>
      </w:rPr>
    </w:tblStylePr>
  </w:style>
  <w:style w:type="table" w:styleId="849">
    <w:name w:val="List Table 5 Dark"/>
    <w:basedOn w:val="913"/>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tcBorders>
          <w:top w:val="single" w:color="000000" w:themeColor="light1" w:sz="4" w:space="0"/>
          <w:bottom w:val="single" w:color="000000" w:themeColor="light1" w:sz="4" w:space="0"/>
        </w:tcBorders>
        <w:shd w:val="clear" w:color="ffffff" w:themeColor="text1" w:themeTint="80" w:fill="7f7f7f" w:themeFill="text1" w:themeFillTint="80"/>
      </w:tcPr>
    </w:tblStylePr>
    <w:tblStylePr w:type="band1Vert">
      <w:tcPr>
        <w:tcBorders>
          <w:left w:val="single" w:color="000000" w:themeColor="light1" w:sz="4" w:space="0"/>
          <w:right w:val="single" w:color="000000" w:themeColor="light1" w:sz="4" w:space="0"/>
        </w:tcBorders>
        <w:shd w:val="clear" w:color="ffffff" w:themeColor="text1" w:themeTint="80" w:fill="7f7f7f" w:themeFill="text1" w:themeFillTint="80"/>
      </w:tcPr>
    </w:tblStylePr>
    <w:tblStylePr w:type="band2Horz">
      <w:tcPr>
        <w:tcBorders>
          <w:top w:val="single" w:color="000000" w:themeColor="light1" w:sz="4" w:space="0"/>
          <w:bottom w:val="single" w:color="000000" w:themeColor="light1" w:sz="4" w:space="0"/>
        </w:tcBorders>
        <w:shd w:val="clear" w:color="ffffff" w:themeColor="text1" w:themeTint="80" w:fill="7f7f7f" w:themeFill="text1" w:themeFillTint="80"/>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tcBorders>
          <w:top w:val="single" w:color="000000" w:themeColor="text1" w:themeTint="80" w:sz="32" w:space="0"/>
          <w:bottom w:val="single" w:color="000000" w:themeColor="light1" w:sz="12" w:space="0"/>
        </w:tcBorders>
        <w:shd w:val="clear" w:color="ffffff" w:themeColor="text1" w:themeTint="80" w:fill="7f7f7f" w:themeFill="text1" w:themeFillTint="80"/>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50">
    <w:name w:val="List Table 5 Dark - Accent 1"/>
    <w:basedOn w:val="913"/>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5b9bd5" w:themeFill="accent1"/>
    </w:tblPr>
    <w:tblStylePr w:type="band1Horz">
      <w:tcPr>
        <w:tcBorders>
          <w:top w:val="single" w:color="000000" w:themeColor="light1" w:sz="4" w:space="0"/>
          <w:bottom w:val="single" w:color="000000" w:themeColor="light1" w:sz="4" w:space="0"/>
        </w:tcBorders>
        <w:shd w:val="clear" w:color="ffffff" w:themeColor="accent1" w:fill="5b9bd5" w:themeFill="accent1"/>
      </w:tcPr>
    </w:tblStylePr>
    <w:tblStylePr w:type="band1Vert">
      <w:tcPr>
        <w:tcBorders>
          <w:left w:val="single" w:color="000000" w:themeColor="light1" w:sz="4" w:space="0"/>
          <w:right w:val="single" w:color="000000" w:themeColor="light1" w:sz="4" w:space="0"/>
        </w:tcBorders>
        <w:shd w:val="clear" w:color="ffffff" w:themeColor="accent1" w:fill="5b9bd5" w:themeFill="accent1"/>
      </w:tcPr>
    </w:tblStylePr>
    <w:tblStylePr w:type="band2Horz">
      <w:tcPr>
        <w:tcBorders>
          <w:top w:val="single" w:color="000000" w:themeColor="light1" w:sz="4" w:space="0"/>
          <w:bottom w:val="single" w:color="000000" w:themeColor="light1" w:sz="4" w:space="0"/>
        </w:tcBorders>
        <w:shd w:val="clear" w:color="ffffff" w:themeColor="accent1" w:fill="5b9bd5" w:themeFill="accent1"/>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tcBorders>
          <w:top w:val="single" w:color="000000" w:themeColor="accent1" w:sz="32" w:space="0"/>
          <w:bottom w:val="single" w:color="000000" w:themeColor="light1" w:sz="12" w:space="0"/>
        </w:tcBorders>
        <w:shd w:val="clear" w:color="ffffff" w:themeColor="accent1" w:fill="5b9bd5" w:themeFill="accent1"/>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51">
    <w:name w:val="List Table 5 Dark - Accent 2"/>
    <w:basedOn w:val="913"/>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185" w:themeFill="accent2" w:themeFillTint="97"/>
    </w:tblPr>
    <w:tblStylePr w:type="band1Horz">
      <w:tcPr>
        <w:tcBorders>
          <w:top w:val="single" w:color="000000" w:themeColor="light1" w:sz="4" w:space="0"/>
          <w:bottom w:val="single" w:color="000000" w:themeColor="light1" w:sz="4" w:space="0"/>
        </w:tcBorders>
        <w:shd w:val="clear" w:color="ffffff" w:themeColor="accent2" w:themeTint="97" w:fill="f4b185" w:themeFill="accent2" w:themeFillTint="97"/>
      </w:tcPr>
    </w:tblStylePr>
    <w:tblStylePr w:type="band1Vert">
      <w:tcPr>
        <w:tcBorders>
          <w:left w:val="single" w:color="000000" w:themeColor="light1" w:sz="4" w:space="0"/>
          <w:right w:val="single" w:color="000000" w:themeColor="light1" w:sz="4" w:space="0"/>
        </w:tcBorders>
        <w:shd w:val="clear" w:color="ffffff" w:themeColor="accent2" w:themeTint="97" w:fill="f4b185" w:themeFill="accent2" w:themeFillTint="97"/>
      </w:tcPr>
    </w:tblStylePr>
    <w:tblStylePr w:type="band2Horz">
      <w:tcPr>
        <w:tcBorders>
          <w:top w:val="single" w:color="000000" w:themeColor="light1" w:sz="4" w:space="0"/>
          <w:bottom w:val="single" w:color="000000" w:themeColor="light1" w:sz="4" w:space="0"/>
        </w:tcBorders>
        <w:shd w:val="clear" w:color="ffffff" w:themeColor="accent2" w:themeTint="97" w:fill="f4b185" w:themeFill="accent2" w:themeFillTint="97"/>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tcBorders>
          <w:top w:val="single" w:color="000000" w:themeColor="accent2" w:themeTint="97" w:sz="32" w:space="0"/>
          <w:bottom w:val="single" w:color="000000" w:themeColor="light1" w:sz="12" w:space="0"/>
        </w:tcBorders>
        <w:shd w:val="clear" w:color="ffffff" w:themeColor="accent2" w:themeTint="97" w:fill="f4b185" w:themeFill="accent2" w:themeFillTint="97"/>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52">
    <w:name w:val="List Table 5 Dark - Accent 3"/>
    <w:basedOn w:val="913"/>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blStylePr w:type="band1Horz">
      <w:tcPr>
        <w:tcBorders>
          <w:top w:val="single" w:color="000000" w:themeColor="light1" w:sz="4" w:space="0"/>
          <w:bottom w:val="single" w:color="000000" w:themeColor="light1" w:sz="4" w:space="0"/>
        </w:tcBorders>
        <w:shd w:val="clear" w:color="ffffff" w:themeColor="accent3" w:themeTint="98" w:fill="c9c9c9" w:themeFill="accent3" w:themeFillTint="98"/>
      </w:tcPr>
    </w:tblStylePr>
    <w:tblStylePr w:type="band1Vert">
      <w:tcPr>
        <w:tcBorders>
          <w:left w:val="single" w:color="000000" w:themeColor="light1" w:sz="4" w:space="0"/>
          <w:right w:val="single" w:color="000000" w:themeColor="light1" w:sz="4" w:space="0"/>
        </w:tcBorders>
        <w:shd w:val="clear" w:color="ffffff" w:themeColor="accent3" w:themeTint="98" w:fill="c9c9c9" w:themeFill="accent3" w:themeFillTint="98"/>
      </w:tcPr>
    </w:tblStylePr>
    <w:tblStylePr w:type="band2Horz">
      <w:tcPr>
        <w:tcBorders>
          <w:top w:val="single" w:color="000000" w:themeColor="light1" w:sz="4" w:space="0"/>
          <w:bottom w:val="single" w:color="000000" w:themeColor="light1" w:sz="4" w:space="0"/>
        </w:tcBorders>
        <w:shd w:val="clear" w:color="ffffff" w:themeColor="accent3" w:themeTint="98" w:fill="c9c9c9" w:themeFill="accent3" w:themeFillTint="98"/>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tcBorders>
          <w:top w:val="single" w:color="000000" w:themeColor="accent3" w:themeTint="98" w:sz="32" w:space="0"/>
          <w:bottom w:val="single" w:color="000000" w:themeColor="light1" w:sz="12" w:space="0"/>
        </w:tcBorders>
        <w:shd w:val="clear" w:color="ffffff" w:themeColor="accent3" w:themeTint="98" w:fill="c9c9c9" w:themeFill="accent3" w:themeFillTint="98"/>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53">
    <w:name w:val="List Table 5 Dark - Accent 4"/>
    <w:basedOn w:val="913"/>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864" w:themeFill="accent4" w:themeFillTint="9A"/>
    </w:tblPr>
    <w:tblStylePr w:type="band1Horz">
      <w:tcPr>
        <w:tcBorders>
          <w:top w:val="single" w:color="000000" w:themeColor="light1" w:sz="4" w:space="0"/>
          <w:bottom w:val="single" w:color="000000" w:themeColor="light1" w:sz="4" w:space="0"/>
        </w:tcBorders>
        <w:shd w:val="clear" w:color="ffffff" w:themeColor="accent4" w:themeTint="9A" w:fill="ffd864" w:themeFill="accent4" w:themeFillTint="9A"/>
      </w:tcPr>
    </w:tblStylePr>
    <w:tblStylePr w:type="band1Vert">
      <w:tcPr>
        <w:tcBorders>
          <w:left w:val="single" w:color="000000" w:themeColor="light1" w:sz="4" w:space="0"/>
          <w:right w:val="single" w:color="000000" w:themeColor="light1" w:sz="4" w:space="0"/>
        </w:tcBorders>
        <w:shd w:val="clear" w:color="ffffff" w:themeColor="accent4" w:themeTint="9A" w:fill="ffd864" w:themeFill="accent4" w:themeFillTint="9A"/>
      </w:tcPr>
    </w:tblStylePr>
    <w:tblStylePr w:type="band2Horz">
      <w:tcPr>
        <w:tcBorders>
          <w:top w:val="single" w:color="000000" w:themeColor="light1" w:sz="4" w:space="0"/>
          <w:bottom w:val="single" w:color="000000" w:themeColor="light1" w:sz="4" w:space="0"/>
        </w:tcBorders>
        <w:shd w:val="clear" w:color="ffffff" w:themeColor="accent4" w:themeTint="9A" w:fill="ffd864" w:themeFill="accent4" w:themeFillTint="9A"/>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tcBorders>
          <w:top w:val="single" w:color="000000" w:themeColor="accent4" w:themeTint="9A" w:sz="32" w:space="0"/>
          <w:bottom w:val="single" w:color="000000" w:themeColor="light1" w:sz="12" w:space="0"/>
        </w:tcBorders>
        <w:shd w:val="clear" w:color="ffffff" w:themeColor="accent4" w:themeTint="9A" w:fill="ffd864" w:themeFill="accent4" w:themeFillTint="9A"/>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54">
    <w:name w:val="List Table 5 Dark - Accent 5"/>
    <w:basedOn w:val="913"/>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8eabdb" w:themeFill="accent5" w:themeFillTint="9A"/>
    </w:tblPr>
    <w:tblStylePr w:type="band1Horz">
      <w:tcPr>
        <w:tcBorders>
          <w:top w:val="single" w:color="000000" w:themeColor="light1" w:sz="4" w:space="0"/>
          <w:bottom w:val="single" w:color="000000" w:themeColor="light1" w:sz="4" w:space="0"/>
        </w:tcBorders>
        <w:shd w:val="clear" w:color="ffffff" w:themeColor="accent5" w:themeTint="9A" w:fill="8eabdb" w:themeFill="accent5" w:themeFillTint="9A"/>
      </w:tcPr>
    </w:tblStylePr>
    <w:tblStylePr w:type="band1Vert">
      <w:tcPr>
        <w:tcBorders>
          <w:left w:val="single" w:color="000000" w:themeColor="light1" w:sz="4" w:space="0"/>
          <w:right w:val="single" w:color="000000" w:themeColor="light1" w:sz="4" w:space="0"/>
        </w:tcBorders>
        <w:shd w:val="clear" w:color="ffffff" w:themeColor="accent5" w:themeTint="9A" w:fill="8eabdb" w:themeFill="accent5" w:themeFillTint="9A"/>
      </w:tcPr>
    </w:tblStylePr>
    <w:tblStylePr w:type="band2Horz">
      <w:tcPr>
        <w:tcBorders>
          <w:top w:val="single" w:color="000000" w:themeColor="light1" w:sz="4" w:space="0"/>
          <w:bottom w:val="single" w:color="000000" w:themeColor="light1" w:sz="4" w:space="0"/>
        </w:tcBorders>
        <w:shd w:val="clear" w:color="ffffff" w:themeColor="accent5" w:themeTint="9A" w:fill="8eabdb" w:themeFill="accent5" w:themeFillTint="9A"/>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tcBorders>
          <w:top w:val="single" w:color="000000" w:themeColor="accent5" w:themeTint="9A" w:sz="32" w:space="0"/>
          <w:bottom w:val="single" w:color="000000" w:themeColor="light1" w:sz="12" w:space="0"/>
        </w:tcBorders>
        <w:shd w:val="clear" w:color="ffffff" w:themeColor="accent5" w:themeTint="9A" w:fill="8eabdb" w:themeFill="accent5" w:themeFillTint="9A"/>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55">
    <w:name w:val="List Table 5 Dark - Accent 6"/>
    <w:basedOn w:val="913"/>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ad08f" w:themeFill="accent6" w:themeFillTint="98"/>
    </w:tblPr>
    <w:tblStylePr w:type="band1Horz">
      <w:tcPr>
        <w:tcBorders>
          <w:top w:val="single" w:color="000000" w:themeColor="light1" w:sz="4" w:space="0"/>
          <w:bottom w:val="single" w:color="000000" w:themeColor="light1" w:sz="4" w:space="0"/>
        </w:tcBorders>
        <w:shd w:val="clear" w:color="ffffff" w:themeColor="accent6" w:themeTint="98" w:fill="aad08f" w:themeFill="accent6" w:themeFillTint="98"/>
      </w:tcPr>
    </w:tblStylePr>
    <w:tblStylePr w:type="band1Vert">
      <w:tcPr>
        <w:tcBorders>
          <w:left w:val="single" w:color="000000" w:themeColor="light1" w:sz="4" w:space="0"/>
          <w:right w:val="single" w:color="000000" w:themeColor="light1" w:sz="4" w:space="0"/>
        </w:tcBorders>
        <w:shd w:val="clear" w:color="ffffff" w:themeColor="accent6" w:themeTint="98" w:fill="aad08f" w:themeFill="accent6" w:themeFillTint="98"/>
      </w:tcPr>
    </w:tblStylePr>
    <w:tblStylePr w:type="band2Horz">
      <w:tcPr>
        <w:tcBorders>
          <w:top w:val="single" w:color="000000" w:themeColor="light1" w:sz="4" w:space="0"/>
          <w:bottom w:val="single" w:color="000000" w:themeColor="light1" w:sz="4" w:space="0"/>
        </w:tcBorders>
        <w:shd w:val="clear" w:color="ffffff" w:themeColor="accent6" w:themeTint="98" w:fill="aad08f" w:themeFill="accent6" w:themeFillTint="98"/>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tcBorders>
          <w:top w:val="single" w:color="000000" w:themeColor="accent6" w:themeTint="98" w:sz="32" w:space="0"/>
          <w:bottom w:val="single" w:color="000000" w:themeColor="light1" w:sz="12" w:space="0"/>
        </w:tcBorders>
        <w:shd w:val="clear" w:color="ffffff" w:themeColor="accent6" w:themeTint="98" w:fill="aad08f" w:themeFill="accent6" w:themeFillTint="98"/>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56">
    <w:name w:val="List Table 6 Colorful"/>
    <w:basedOn w:val="913"/>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857">
    <w:name w:val="List Table 6 Colorful - Accent 1"/>
    <w:basedOn w:val="913"/>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5e6f4" w:themeFill="accent1" w:themeFillTint="40"/>
      </w:tcPr>
    </w:tblStylePr>
    <w:tblStylePr w:type="band1Vert">
      <w:tcPr>
        <w:shd w:val="clear" w:color="ffffff" w:themeColor="accent1" w:themeTint="40" w:fill="d5e6f4" w:themeFill="accent1" w:themeFillTint="40"/>
      </w:tcPr>
    </w:tblStylePr>
    <w:tblStylePr w:type="band2Horz">
      <w:rPr>
        <w:rFonts w:ascii="Arial" w:hAnsi="Arial"/>
        <w:color w:val="404040" w:themeColor="accent1" w:themeShade="95"/>
        <w:sz w:val="22"/>
      </w:rPr>
    </w:tblStylePr>
    <w:tblStylePr w:type="firstCol">
      <w:rPr>
        <w:b/>
        <w:color w:val="245d8d" w:themeColor="accent1" w:themeShade="95"/>
      </w:rPr>
    </w:tblStylePr>
    <w:tblStylePr w:type="firstRow">
      <w:rPr>
        <w:b/>
        <w:color w:val="245d8d" w:themeColor="accent1" w:themeShade="95"/>
      </w:rPr>
      <w:tcPr>
        <w:tcBorders>
          <w:bottom w:val="single" w:color="000000" w:themeColor="accent1" w:sz="4" w:space="0"/>
        </w:tcBorders>
      </w:tcPr>
    </w:tblStylePr>
    <w:tblStylePr w:type="lastCol">
      <w:rPr>
        <w:b/>
        <w:color w:val="245d8d" w:themeColor="accent1" w:themeShade="95"/>
      </w:rPr>
    </w:tblStylePr>
    <w:tblStylePr w:type="lastRow">
      <w:rPr>
        <w:b/>
        <w:color w:val="245d8d" w:themeColor="accent1" w:themeShade="95"/>
      </w:rPr>
      <w:tcPr>
        <w:tcBorders>
          <w:top w:val="single" w:color="000000" w:themeColor="accent1" w:sz="4" w:space="0"/>
        </w:tcBorders>
      </w:tcPr>
    </w:tblStylePr>
  </w:style>
  <w:style w:type="table" w:styleId="858">
    <w:name w:val="List Table 6 Colorful - Accent 2"/>
    <w:basedOn w:val="913"/>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4" w:space="0"/>
        </w:tcBorders>
      </w:tcPr>
    </w:tblStylePr>
    <w:tblStylePr w:type="lastCol">
      <w:rPr>
        <w:b/>
        <w:color w:val="c95712" w:themeColor="accent2" w:themeTint="97" w:themeShade="95"/>
      </w:rPr>
    </w:tblStylePr>
    <w:tblStylePr w:type="lastRow">
      <w:rPr>
        <w:b/>
        <w:color w:val="c95712" w:themeColor="accent2" w:themeTint="97" w:themeShade="95"/>
      </w:rPr>
      <w:tcPr>
        <w:tcBorders>
          <w:top w:val="single" w:color="000000" w:themeColor="accent2" w:themeTint="97" w:sz="4" w:space="0"/>
        </w:tcBorders>
      </w:tcPr>
    </w:tblStylePr>
  </w:style>
  <w:style w:type="table" w:styleId="859">
    <w:name w:val="List Table 6 Colorful - Accent 3"/>
    <w:basedOn w:val="913"/>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404040" w:themeColor="accent3" w:themeTint="98" w:themeShade="95"/>
        <w:sz w:val="22"/>
      </w:rPr>
    </w:tblStylePr>
    <w:tblStylePr w:type="firstCol">
      <w:rPr>
        <w:b/>
        <w:color w:val="757575" w:themeColor="accent3" w:themeTint="98" w:themeShade="95"/>
      </w:rPr>
    </w:tblStylePr>
    <w:tblStylePr w:type="firstRow">
      <w:rPr>
        <w:b/>
        <w:color w:val="757575" w:themeColor="accent3" w:themeTint="98" w:themeShade="95"/>
      </w:rPr>
      <w:tcPr>
        <w:tcBorders>
          <w:bottom w:val="single" w:color="000000" w:themeColor="accent3" w:themeTint="98" w:sz="4" w:space="0"/>
        </w:tcBorders>
      </w:tcPr>
    </w:tblStylePr>
    <w:tblStylePr w:type="lastCol">
      <w:rPr>
        <w:b/>
        <w:color w:val="757575" w:themeColor="accent3" w:themeTint="98" w:themeShade="95"/>
      </w:rPr>
    </w:tblStylePr>
    <w:tblStylePr w:type="lastRow">
      <w:rPr>
        <w:b/>
        <w:color w:val="757575" w:themeColor="accent3" w:themeTint="98" w:themeShade="95"/>
      </w:rPr>
      <w:tcPr>
        <w:tcBorders>
          <w:top w:val="single" w:color="000000" w:themeColor="accent3" w:themeTint="98" w:sz="4" w:space="0"/>
        </w:tcBorders>
      </w:tcPr>
    </w:tblStylePr>
  </w:style>
  <w:style w:type="table" w:styleId="860">
    <w:name w:val="List Table 6 Colorful - Accent 4"/>
    <w:basedOn w:val="913"/>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4" w:space="0"/>
        </w:tcBorders>
      </w:tcPr>
    </w:tblStylePr>
    <w:tblStylePr w:type="lastCol">
      <w:rPr>
        <w:b/>
        <w:color w:val="cd9600" w:themeColor="accent4" w:themeTint="9A" w:themeShade="95"/>
      </w:rPr>
    </w:tblStylePr>
    <w:tblStylePr w:type="lastRow">
      <w:rPr>
        <w:b/>
        <w:color w:val="cd9600" w:themeColor="accent4" w:themeTint="9A" w:themeShade="95"/>
      </w:rPr>
      <w:tcPr>
        <w:tcBorders>
          <w:top w:val="single" w:color="000000" w:themeColor="accent4" w:themeTint="9A" w:sz="4" w:space="0"/>
        </w:tcBorders>
      </w:tcPr>
    </w:tblStylePr>
  </w:style>
  <w:style w:type="table" w:styleId="861">
    <w:name w:val="List Table 6 Colorful - Accent 5"/>
    <w:basedOn w:val="913"/>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cfdcf0" w:themeFill="accent5" w:themeFillTint="40"/>
      </w:tcPr>
    </w:tblStylePr>
    <w:tblStylePr w:type="band1Vert">
      <w:tcPr>
        <w:shd w:val="clear" w:color="ffffff" w:themeColor="accent5" w:themeTint="40" w:fill="cfdcf0" w:themeFill="accent5" w:themeFillTint="40"/>
      </w:tcPr>
    </w:tblStylePr>
    <w:tblStylePr w:type="band2Horz">
      <w:rPr>
        <w:rFonts w:ascii="Arial" w:hAnsi="Arial"/>
        <w:color w:val="404040" w:themeColor="accent5" w:themeTint="9A" w:themeShade="95"/>
        <w:sz w:val="22"/>
      </w:rPr>
    </w:tblStylePr>
    <w:tblStylePr w:type="firstCol">
      <w:rPr>
        <w:b/>
        <w:color w:val="335e9e" w:themeColor="accent5" w:themeTint="9A" w:themeShade="95"/>
      </w:rPr>
    </w:tblStylePr>
    <w:tblStylePr w:type="firstRow">
      <w:rPr>
        <w:b/>
        <w:color w:val="335e9e" w:themeColor="accent5" w:themeTint="9A" w:themeShade="95"/>
      </w:rPr>
      <w:tcPr>
        <w:tcBorders>
          <w:bottom w:val="single" w:color="000000" w:themeColor="accent5" w:themeTint="9A" w:sz="4" w:space="0"/>
        </w:tcBorders>
      </w:tcPr>
    </w:tblStylePr>
    <w:tblStylePr w:type="lastCol">
      <w:rPr>
        <w:b/>
        <w:color w:val="335e9e" w:themeColor="accent5" w:themeTint="9A" w:themeShade="95"/>
      </w:rPr>
    </w:tblStylePr>
    <w:tblStylePr w:type="lastRow">
      <w:rPr>
        <w:b/>
        <w:color w:val="335e9e" w:themeColor="accent5" w:themeTint="9A" w:themeShade="95"/>
      </w:rPr>
      <w:tcPr>
        <w:tcBorders>
          <w:top w:val="single" w:color="000000" w:themeColor="accent5" w:themeTint="9A" w:sz="4" w:space="0"/>
        </w:tcBorders>
      </w:tcPr>
    </w:tblStylePr>
  </w:style>
  <w:style w:type="table" w:styleId="862">
    <w:name w:val="List Table 6 Colorful - Accent 6"/>
    <w:basedOn w:val="913"/>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404040" w:themeColor="accent6" w:themeTint="98" w:themeShade="95"/>
        <w:sz w:val="22"/>
      </w:rPr>
    </w:tblStylePr>
    <w:tblStylePr w:type="firstCol">
      <w:rPr>
        <w:b/>
        <w:color w:val="5f8f3c" w:themeColor="accent6" w:themeTint="98" w:themeShade="95"/>
      </w:rPr>
    </w:tblStylePr>
    <w:tblStylePr w:type="firstRow">
      <w:rPr>
        <w:b/>
        <w:color w:val="5f8f3c" w:themeColor="accent6" w:themeTint="98" w:themeShade="95"/>
      </w:rPr>
      <w:tcPr>
        <w:tcBorders>
          <w:bottom w:val="single" w:color="000000" w:themeColor="accent6" w:themeTint="98" w:sz="4" w:space="0"/>
        </w:tcBorders>
      </w:tcPr>
    </w:tblStylePr>
    <w:tblStylePr w:type="lastCol">
      <w:rPr>
        <w:b/>
        <w:color w:val="5f8f3c" w:themeColor="accent6" w:themeTint="98" w:themeShade="95"/>
      </w:rPr>
    </w:tblStylePr>
    <w:tblStylePr w:type="lastRow">
      <w:rPr>
        <w:b/>
        <w:color w:val="5f8f3c" w:themeColor="accent6" w:themeTint="98" w:themeShade="95"/>
      </w:rPr>
      <w:tcPr>
        <w:tcBorders>
          <w:top w:val="single" w:color="000000" w:themeColor="accent6" w:themeTint="98" w:sz="4" w:space="0"/>
        </w:tcBorders>
      </w:tcPr>
    </w:tblStylePr>
  </w:style>
  <w:style w:type="table" w:styleId="863">
    <w:name w:val="List Table 7 Colorful"/>
    <w:basedOn w:val="913"/>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tcBorders>
          <w:top w:val="none" w:color="000000" w:sz="4" w:space="0"/>
          <w:left w:val="none" w:color="000000" w:sz="4" w:space="0"/>
          <w:bottom w:val="none" w:color="000000" w:sz="4" w:space="0"/>
          <w:right w:val="single" w:color="000000" w:themeColor="text1" w:themeTint="80" w:sz="4" w:space="0"/>
        </w:tcBorders>
        <w:shd w:val="clear" w:color="ffffff"/>
      </w:tcPr>
    </w:tblStylePr>
    <w:tblStylePr w:type="firstRow">
      <w:rPr>
        <w:rFonts w:ascii="Arial" w:hAnsi="Arial"/>
        <w:i/>
        <w:color w:val="4a4a4a" w:themeColor="text1" w:themeTint="80" w:themeShade="95"/>
        <w:sz w:val="22"/>
      </w:rPr>
      <w:tcPr>
        <w:tcBorders>
          <w:top w:val="none" w:color="000000" w:sz="4" w:space="0"/>
          <w:left w:val="none" w:color="000000" w:sz="4" w:space="0"/>
          <w:bottom w:val="single" w:color="000000" w:themeColor="text1" w:themeTint="80" w:sz="4" w:space="0"/>
          <w:right w:val="none" w:color="000000" w:sz="4" w:space="0"/>
        </w:tcBorders>
        <w:shd w:val="clear" w:color="ffffff" w:themeColor="light1" w:fill="ffffff" w:themeFill="light1"/>
      </w:tcPr>
    </w:tblStylePr>
    <w:tblStylePr w:type="lastCol">
      <w:rPr>
        <w:rFonts w:ascii="Arial" w:hAnsi="Arial"/>
        <w:i/>
        <w:color w:val="4a4a4a" w:themeColor="text1" w:themeTint="80" w:themeShade="95"/>
        <w:sz w:val="22"/>
      </w:rPr>
      <w:tcPr>
        <w:tcBorders>
          <w:top w:val="none" w:color="000000" w:sz="4" w:space="0"/>
          <w:left w:val="single" w:color="000000" w:themeColor="text1" w:themeTint="80" w:sz="4" w:space="0"/>
          <w:bottom w:val="none" w:color="000000" w:sz="4" w:space="0"/>
          <w:right w:val="none" w:color="000000" w:sz="4" w:space="0"/>
        </w:tcBorders>
        <w:shd w:val="clear" w:color="ffffff"/>
      </w:tcPr>
    </w:tblStylePr>
    <w:tblStylePr w:type="lastRow">
      <w:rPr>
        <w:rFonts w:ascii="Arial" w:hAnsi="Arial"/>
        <w:i/>
        <w:color w:val="4a4a4a" w:themeColor="text1" w:themeTint="80" w:themeShade="95"/>
        <w:sz w:val="22"/>
      </w:rPr>
      <w:tcPr>
        <w:tcBorders>
          <w:top w:val="single" w:color="000000" w:themeColor="text1" w:themeTint="80" w:sz="4" w:space="0"/>
          <w:left w:val="none" w:color="000000" w:sz="4" w:space="0"/>
          <w:bottom w:val="none" w:color="000000" w:sz="4" w:space="0"/>
          <w:right w:val="none" w:color="000000" w:sz="4" w:space="0"/>
        </w:tcBorders>
        <w:shd w:val="clear" w:color="ffffff" w:themeColor="light1" w:fill="ffffff" w:themeFill="light1"/>
      </w:tcPr>
    </w:tblStylePr>
    <w:tblStylePr w:type="wholeTable">
      <w:rPr>
        <w:rFonts w:ascii="Arial" w:hAnsi="Arial"/>
        <w:color w:val="4a4a4a" w:themeColor="text1" w:themeTint="80" w:themeShade="95"/>
        <w:sz w:val="22"/>
      </w:rPr>
    </w:tblStylePr>
  </w:style>
  <w:style w:type="table" w:styleId="864">
    <w:name w:val="List Table 7 Colorful - Accent 1"/>
    <w:basedOn w:val="913"/>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45d8d" w:themeColor="accent1" w:themeShade="95"/>
        <w:sz w:val="22"/>
      </w:rPr>
      <w:tcPr>
        <w:shd w:val="clear" w:color="ffffff" w:themeColor="accent1" w:themeTint="40" w:fill="d5e6f4" w:themeFill="accent1" w:themeFillTint="40"/>
      </w:tcPr>
    </w:tblStylePr>
    <w:tblStylePr w:type="band1Vert">
      <w:tcPr>
        <w:shd w:val="clear" w:color="ffffff" w:themeColor="accent1" w:themeTint="40" w:fill="d5e6f4" w:themeFill="accent1" w:themeFillTint="40"/>
      </w:tcPr>
    </w:tblStylePr>
    <w:tblStylePr w:type="band2Horz">
      <w:rPr>
        <w:rFonts w:ascii="Arial" w:hAnsi="Arial"/>
        <w:color w:val="245d8d" w:themeColor="accent1" w:themeShade="95"/>
        <w:sz w:val="22"/>
      </w:rPr>
    </w:tblStylePr>
    <w:tblStylePr w:type="firstCol">
      <w:rPr>
        <w:rFonts w:ascii="Arial" w:hAnsi="Arial"/>
        <w:i/>
        <w:color w:val="245d8d" w:themeColor="accent1" w:themeShade="95"/>
        <w:sz w:val="22"/>
      </w:rPr>
      <w:pPr>
        <w:jc w:val="right"/>
      </w:pPr>
      <w:tcPr>
        <w:tcBorders>
          <w:top w:val="none" w:color="000000" w:sz="4" w:space="0"/>
          <w:left w:val="none" w:color="000000" w:sz="4" w:space="0"/>
          <w:bottom w:val="none" w:color="000000" w:sz="4" w:space="0"/>
          <w:right w:val="single" w:color="000000" w:themeColor="accent1" w:sz="4" w:space="0"/>
        </w:tcBorders>
        <w:shd w:val="clear" w:color="ffffff"/>
      </w:tcPr>
    </w:tblStylePr>
    <w:tblStylePr w:type="firstRow">
      <w:rPr>
        <w:rFonts w:ascii="Arial" w:hAnsi="Arial"/>
        <w:i/>
        <w:color w:val="245d8d" w:themeColor="accent1" w:themeShade="95"/>
        <w:sz w:val="22"/>
      </w:rPr>
      <w:tcPr>
        <w:tcBorders>
          <w:top w:val="none" w:color="000000" w:sz="4" w:space="0"/>
          <w:left w:val="none" w:color="000000" w:sz="4" w:space="0"/>
          <w:bottom w:val="single" w:color="000000" w:themeColor="accent1" w:sz="4" w:space="0"/>
          <w:right w:val="none" w:color="000000" w:sz="4" w:space="0"/>
        </w:tcBorders>
        <w:shd w:val="clear" w:color="ffffff" w:themeColor="light1" w:fill="ffffff" w:themeFill="light1"/>
      </w:tcPr>
    </w:tblStylePr>
    <w:tblStylePr w:type="lastCol">
      <w:rPr>
        <w:rFonts w:ascii="Arial" w:hAnsi="Arial"/>
        <w:i/>
        <w:color w:val="245d8d" w:themeColor="accent1" w:themeShade="95"/>
        <w:sz w:val="22"/>
      </w:rPr>
      <w:tcPr>
        <w:tcBorders>
          <w:top w:val="none" w:color="000000" w:sz="4" w:space="0"/>
          <w:left w:val="single" w:color="000000" w:themeColor="accent1" w:sz="4" w:space="0"/>
          <w:bottom w:val="none" w:color="000000" w:sz="4" w:space="0"/>
          <w:right w:val="none" w:color="000000" w:sz="4" w:space="0"/>
        </w:tcBorders>
        <w:shd w:val="clear" w:color="ffffff"/>
      </w:tcPr>
    </w:tblStylePr>
    <w:tblStylePr w:type="lastRow">
      <w:rPr>
        <w:rFonts w:ascii="Arial" w:hAnsi="Arial"/>
        <w:i/>
        <w:color w:val="245d8d" w:themeColor="accent1" w:themeShade="95"/>
        <w:sz w:val="22"/>
      </w:rPr>
      <w:tcPr>
        <w:tcBorders>
          <w:top w:val="single" w:color="000000" w:themeColor="accent1" w:sz="4" w:space="0"/>
          <w:left w:val="none" w:color="000000" w:sz="4" w:space="0"/>
          <w:bottom w:val="none" w:color="000000" w:sz="4" w:space="0"/>
          <w:right w:val="none" w:color="000000" w:sz="4" w:space="0"/>
        </w:tcBorders>
        <w:shd w:val="clear" w:color="ffffff" w:themeColor="light1" w:fill="ffffff" w:themeFill="light1"/>
      </w:tcPr>
    </w:tblStylePr>
    <w:tblStylePr w:type="wholeTable">
      <w:rPr>
        <w:rFonts w:ascii="Arial" w:hAnsi="Arial"/>
        <w:color w:val="245d8d" w:themeColor="accent1" w:themeShade="95"/>
        <w:sz w:val="22"/>
      </w:rPr>
    </w:tblStylePr>
  </w:style>
  <w:style w:type="table" w:styleId="865">
    <w:name w:val="List Table 7 Colorful - Accent 2"/>
    <w:basedOn w:val="913"/>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tcBorders>
          <w:top w:val="none" w:color="000000" w:sz="4" w:space="0"/>
          <w:left w:val="none" w:color="000000" w:sz="4" w:space="0"/>
          <w:bottom w:val="none" w:color="000000" w:sz="4" w:space="0"/>
          <w:right w:val="single" w:color="000000" w:themeColor="accent2" w:themeTint="97" w:sz="4" w:space="0"/>
        </w:tcBorders>
        <w:shd w:val="clear" w:color="ffffff"/>
      </w:tcPr>
    </w:tblStylePr>
    <w:tblStylePr w:type="firstRow">
      <w:rPr>
        <w:rFonts w:ascii="Arial" w:hAnsi="Arial"/>
        <w:i/>
        <w:color w:val="c95712" w:themeColor="accent2" w:themeTint="97" w:themeShade="95"/>
        <w:sz w:val="22"/>
      </w:rPr>
      <w:tcPr>
        <w:tcBorders>
          <w:top w:val="none" w:color="000000" w:sz="4" w:space="0"/>
          <w:left w:val="none" w:color="000000" w:sz="4" w:space="0"/>
          <w:bottom w:val="single" w:color="000000" w:themeColor="accent2" w:themeTint="97" w:sz="4" w:space="0"/>
          <w:right w:val="none" w:color="000000" w:sz="4" w:space="0"/>
        </w:tcBorders>
        <w:shd w:val="clear" w:color="ffffff" w:themeColor="light1" w:fill="ffffff" w:themeFill="light1"/>
      </w:tcPr>
    </w:tblStylePr>
    <w:tblStylePr w:type="lastCol">
      <w:rPr>
        <w:rFonts w:ascii="Arial" w:hAnsi="Arial"/>
        <w:i/>
        <w:color w:val="c95712" w:themeColor="accent2" w:themeTint="97" w:themeShade="95"/>
        <w:sz w:val="22"/>
      </w:rPr>
      <w:tcPr>
        <w:tcBorders>
          <w:top w:val="none" w:color="000000" w:sz="4" w:space="0"/>
          <w:left w:val="single" w:color="000000" w:themeColor="accent2" w:themeTint="97" w:sz="4" w:space="0"/>
          <w:bottom w:val="none" w:color="000000" w:sz="4" w:space="0"/>
          <w:right w:val="none" w:color="000000" w:sz="4" w:space="0"/>
        </w:tcBorders>
        <w:shd w:val="clear" w:color="ffffff"/>
      </w:tcPr>
    </w:tblStylePr>
    <w:tblStylePr w:type="lastRow">
      <w:rPr>
        <w:rFonts w:ascii="Arial" w:hAnsi="Arial"/>
        <w:i/>
        <w:color w:val="c95712" w:themeColor="accent2" w:themeTint="97" w:themeShade="95"/>
        <w:sz w:val="22"/>
      </w:rPr>
      <w:tcPr>
        <w:tcBorders>
          <w:top w:val="single" w:color="000000" w:themeColor="accent2" w:themeTint="97" w:sz="4" w:space="0"/>
          <w:left w:val="none" w:color="000000" w:sz="4" w:space="0"/>
          <w:bottom w:val="none" w:color="000000" w:sz="4" w:space="0"/>
          <w:right w:val="none" w:color="000000" w:sz="4" w:space="0"/>
        </w:tcBorders>
        <w:shd w:val="clear" w:color="ffffff" w:themeColor="light1" w:fill="ffffff" w:themeFill="light1"/>
      </w:tcPr>
    </w:tblStylePr>
    <w:tblStylePr w:type="wholeTable">
      <w:rPr>
        <w:rFonts w:ascii="Arial" w:hAnsi="Arial"/>
        <w:color w:val="c95712" w:themeColor="accent2" w:themeTint="97" w:themeShade="95"/>
        <w:sz w:val="22"/>
      </w:rPr>
    </w:tblStylePr>
  </w:style>
  <w:style w:type="table" w:styleId="866">
    <w:name w:val="List Table 7 Colorful - Accent 3"/>
    <w:basedOn w:val="913"/>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57575"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757575" w:themeColor="accent3" w:themeTint="98" w:themeShade="95"/>
        <w:sz w:val="22"/>
      </w:rPr>
    </w:tblStylePr>
    <w:tblStylePr w:type="firstCol">
      <w:rPr>
        <w:rFonts w:ascii="Arial" w:hAnsi="Arial"/>
        <w:i/>
        <w:color w:val="757575" w:themeColor="accent3" w:themeTint="98" w:themeShade="95"/>
        <w:sz w:val="22"/>
      </w:rPr>
      <w:pPr>
        <w:jc w:val="right"/>
      </w:pPr>
      <w:tcPr>
        <w:tcBorders>
          <w:top w:val="none" w:color="000000" w:sz="4" w:space="0"/>
          <w:left w:val="none" w:color="000000" w:sz="4" w:space="0"/>
          <w:bottom w:val="none" w:color="000000" w:sz="4" w:space="0"/>
          <w:right w:val="single" w:color="000000" w:themeColor="accent3" w:themeTint="98" w:sz="4" w:space="0"/>
        </w:tcBorders>
        <w:shd w:val="clear" w:color="ffffff"/>
      </w:tcPr>
    </w:tblStylePr>
    <w:tblStylePr w:type="firstRow">
      <w:rPr>
        <w:rFonts w:ascii="Arial" w:hAnsi="Arial"/>
        <w:i/>
        <w:color w:val="757575" w:themeColor="accent3" w:themeTint="98" w:themeShade="95"/>
        <w:sz w:val="22"/>
      </w:rPr>
      <w:tcPr>
        <w:tcBorders>
          <w:top w:val="none" w:color="000000" w:sz="4" w:space="0"/>
          <w:left w:val="none" w:color="000000" w:sz="4" w:space="0"/>
          <w:bottom w:val="single" w:color="000000" w:themeColor="accent3" w:themeTint="98" w:sz="4" w:space="0"/>
          <w:right w:val="none" w:color="000000" w:sz="4" w:space="0"/>
        </w:tcBorders>
        <w:shd w:val="clear" w:color="ffffff" w:themeColor="light1" w:fill="ffffff" w:themeFill="light1"/>
      </w:tcPr>
    </w:tblStylePr>
    <w:tblStylePr w:type="lastCol">
      <w:rPr>
        <w:rFonts w:ascii="Arial" w:hAnsi="Arial"/>
        <w:i/>
        <w:color w:val="757575" w:themeColor="accent3" w:themeTint="98" w:themeShade="95"/>
        <w:sz w:val="22"/>
      </w:rPr>
      <w:tcPr>
        <w:tcBorders>
          <w:top w:val="none" w:color="000000" w:sz="4" w:space="0"/>
          <w:left w:val="single" w:color="000000" w:themeColor="accent3" w:themeTint="98" w:sz="4" w:space="0"/>
          <w:bottom w:val="none" w:color="000000" w:sz="4" w:space="0"/>
          <w:right w:val="none" w:color="000000" w:sz="4" w:space="0"/>
        </w:tcBorders>
        <w:shd w:val="clear" w:color="ffffff"/>
      </w:tcPr>
    </w:tblStylePr>
    <w:tblStylePr w:type="lastRow">
      <w:rPr>
        <w:rFonts w:ascii="Arial" w:hAnsi="Arial"/>
        <w:i/>
        <w:color w:val="757575" w:themeColor="accent3" w:themeTint="98" w:themeShade="95"/>
        <w:sz w:val="22"/>
      </w:rPr>
      <w:tcPr>
        <w:tcBorders>
          <w:top w:val="single" w:color="000000" w:themeColor="accent3" w:themeTint="98" w:sz="4" w:space="0"/>
          <w:left w:val="none" w:color="000000" w:sz="4" w:space="0"/>
          <w:bottom w:val="none" w:color="000000" w:sz="4" w:space="0"/>
          <w:right w:val="none" w:color="000000" w:sz="4" w:space="0"/>
        </w:tcBorders>
        <w:shd w:val="clear" w:color="ffffff" w:themeColor="light1" w:fill="ffffff" w:themeFill="light1"/>
      </w:tcPr>
    </w:tblStylePr>
    <w:tblStylePr w:type="wholeTable">
      <w:rPr>
        <w:rFonts w:ascii="Arial" w:hAnsi="Arial"/>
        <w:color w:val="757575" w:themeColor="accent3" w:themeTint="98" w:themeShade="95"/>
        <w:sz w:val="22"/>
      </w:rPr>
    </w:tblStylePr>
  </w:style>
  <w:style w:type="table" w:styleId="867">
    <w:name w:val="List Table 7 Colorful - Accent 4"/>
    <w:basedOn w:val="913"/>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tcBorders>
          <w:top w:val="none" w:color="000000" w:sz="4" w:space="0"/>
          <w:left w:val="none" w:color="000000" w:sz="4" w:space="0"/>
          <w:bottom w:val="none" w:color="000000" w:sz="4" w:space="0"/>
          <w:right w:val="single" w:color="000000" w:themeColor="accent4" w:themeTint="9A" w:sz="4" w:space="0"/>
        </w:tcBorders>
        <w:shd w:val="clear" w:color="ffffff"/>
      </w:tcPr>
    </w:tblStylePr>
    <w:tblStylePr w:type="firstRow">
      <w:rPr>
        <w:rFonts w:ascii="Arial" w:hAnsi="Arial"/>
        <w:i/>
        <w:color w:val="cd9600" w:themeColor="accent4" w:themeTint="9A" w:themeShade="95"/>
        <w:sz w:val="22"/>
      </w:rPr>
      <w:tcPr>
        <w:tcBorders>
          <w:top w:val="none" w:color="000000" w:sz="4" w:space="0"/>
          <w:left w:val="none" w:color="000000" w:sz="4" w:space="0"/>
          <w:bottom w:val="single" w:color="000000" w:themeColor="accent4" w:themeTint="9A" w:sz="4" w:space="0"/>
          <w:right w:val="none" w:color="000000" w:sz="4" w:space="0"/>
        </w:tcBorders>
        <w:shd w:val="clear" w:color="ffffff" w:themeColor="light1" w:fill="ffffff" w:themeFill="light1"/>
      </w:tcPr>
    </w:tblStylePr>
    <w:tblStylePr w:type="lastCol">
      <w:rPr>
        <w:rFonts w:ascii="Arial" w:hAnsi="Arial"/>
        <w:i/>
        <w:color w:val="cd9600" w:themeColor="accent4" w:themeTint="9A" w:themeShade="95"/>
        <w:sz w:val="22"/>
      </w:rPr>
      <w:tcPr>
        <w:tcBorders>
          <w:top w:val="none" w:color="000000" w:sz="4" w:space="0"/>
          <w:left w:val="single" w:color="000000" w:themeColor="accent4" w:themeTint="9A" w:sz="4" w:space="0"/>
          <w:bottom w:val="none" w:color="000000" w:sz="4" w:space="0"/>
          <w:right w:val="none" w:color="000000" w:sz="4" w:space="0"/>
        </w:tcBorders>
        <w:shd w:val="clear" w:color="ffffff"/>
      </w:tcPr>
    </w:tblStylePr>
    <w:tblStylePr w:type="lastRow">
      <w:rPr>
        <w:rFonts w:ascii="Arial" w:hAnsi="Arial"/>
        <w:i/>
        <w:color w:val="cd9600" w:themeColor="accent4" w:themeTint="9A" w:themeShade="95"/>
        <w:sz w:val="22"/>
      </w:rPr>
      <w:tcPr>
        <w:tcBorders>
          <w:top w:val="single" w:color="000000" w:themeColor="accent4" w:themeTint="9A" w:sz="4" w:space="0"/>
          <w:left w:val="none" w:color="000000" w:sz="4" w:space="0"/>
          <w:bottom w:val="none" w:color="000000" w:sz="4" w:space="0"/>
          <w:right w:val="none" w:color="000000" w:sz="4" w:space="0"/>
        </w:tcBorders>
        <w:shd w:val="clear" w:color="ffffff" w:themeColor="light1" w:fill="ffffff" w:themeFill="light1"/>
      </w:tcPr>
    </w:tblStylePr>
    <w:tblStylePr w:type="wholeTable">
      <w:rPr>
        <w:rFonts w:ascii="Arial" w:hAnsi="Arial"/>
        <w:color w:val="cd9600" w:themeColor="accent4" w:themeTint="9A" w:themeShade="95"/>
        <w:sz w:val="22"/>
      </w:rPr>
    </w:tblStylePr>
  </w:style>
  <w:style w:type="table" w:styleId="868">
    <w:name w:val="List Table 7 Colorful - Accent 5"/>
    <w:basedOn w:val="913"/>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5e9e" w:themeColor="accent5" w:themeTint="9A" w:themeShade="95"/>
        <w:sz w:val="22"/>
      </w:rPr>
      <w:tcPr>
        <w:shd w:val="clear" w:color="ffffff" w:themeColor="accent5" w:themeTint="40" w:fill="cfdcf0" w:themeFill="accent5" w:themeFillTint="40"/>
      </w:tcPr>
    </w:tblStylePr>
    <w:tblStylePr w:type="band1Vert">
      <w:tcPr>
        <w:shd w:val="clear" w:color="ffffff" w:themeColor="accent5" w:themeTint="40" w:fill="cfdcf0" w:themeFill="accent5" w:themeFillTint="40"/>
      </w:tcPr>
    </w:tblStylePr>
    <w:tblStylePr w:type="band2Horz">
      <w:rPr>
        <w:rFonts w:ascii="Arial" w:hAnsi="Arial"/>
        <w:color w:val="335e9e" w:themeColor="accent5" w:themeTint="9A" w:themeShade="95"/>
        <w:sz w:val="22"/>
      </w:rPr>
    </w:tblStylePr>
    <w:tblStylePr w:type="firstCol">
      <w:rPr>
        <w:rFonts w:ascii="Arial" w:hAnsi="Arial"/>
        <w:i/>
        <w:color w:val="335e9e" w:themeColor="accent5" w:themeTint="9A" w:themeShade="95"/>
        <w:sz w:val="22"/>
      </w:rPr>
      <w:pPr>
        <w:jc w:val="right"/>
      </w:pPr>
      <w:tcPr>
        <w:tcBorders>
          <w:top w:val="none" w:color="000000" w:sz="4" w:space="0"/>
          <w:left w:val="none" w:color="000000" w:sz="4" w:space="0"/>
          <w:bottom w:val="none" w:color="000000" w:sz="4" w:space="0"/>
          <w:right w:val="single" w:color="000000" w:themeColor="accent5" w:themeTint="9A" w:sz="4" w:space="0"/>
        </w:tcBorders>
        <w:shd w:val="clear" w:color="ffffff"/>
      </w:tcPr>
    </w:tblStylePr>
    <w:tblStylePr w:type="firstRow">
      <w:rPr>
        <w:rFonts w:ascii="Arial" w:hAnsi="Arial"/>
        <w:i/>
        <w:color w:val="335e9e" w:themeColor="accent5" w:themeTint="9A" w:themeShade="95"/>
        <w:sz w:val="22"/>
      </w:rPr>
      <w:tcPr>
        <w:tcBorders>
          <w:top w:val="none" w:color="000000" w:sz="4" w:space="0"/>
          <w:left w:val="none" w:color="000000" w:sz="4" w:space="0"/>
          <w:bottom w:val="single" w:color="000000" w:themeColor="accent5" w:themeTint="9A" w:sz="4" w:space="0"/>
          <w:right w:val="none" w:color="000000" w:sz="4" w:space="0"/>
        </w:tcBorders>
        <w:shd w:val="clear" w:color="ffffff" w:themeColor="light1" w:fill="ffffff" w:themeFill="light1"/>
      </w:tcPr>
    </w:tblStylePr>
    <w:tblStylePr w:type="lastCol">
      <w:rPr>
        <w:rFonts w:ascii="Arial" w:hAnsi="Arial"/>
        <w:i/>
        <w:color w:val="335e9e" w:themeColor="accent5" w:themeTint="9A" w:themeShade="95"/>
        <w:sz w:val="22"/>
      </w:rPr>
      <w:tcPr>
        <w:tcBorders>
          <w:top w:val="none" w:color="000000" w:sz="4" w:space="0"/>
          <w:left w:val="single" w:color="000000" w:themeColor="accent5" w:themeTint="9A" w:sz="4" w:space="0"/>
          <w:bottom w:val="none" w:color="000000" w:sz="4" w:space="0"/>
          <w:right w:val="none" w:color="000000" w:sz="4" w:space="0"/>
        </w:tcBorders>
        <w:shd w:val="clear" w:color="ffffff"/>
      </w:tcPr>
    </w:tblStylePr>
    <w:tblStylePr w:type="lastRow">
      <w:rPr>
        <w:rFonts w:ascii="Arial" w:hAnsi="Arial"/>
        <w:i/>
        <w:color w:val="335e9e" w:themeColor="accent5" w:themeTint="9A" w:themeShade="95"/>
        <w:sz w:val="22"/>
      </w:rPr>
      <w:tcPr>
        <w:tcBorders>
          <w:top w:val="single" w:color="000000" w:themeColor="accent5" w:themeTint="9A" w:sz="4" w:space="0"/>
          <w:left w:val="none" w:color="000000" w:sz="4" w:space="0"/>
          <w:bottom w:val="none" w:color="000000" w:sz="4" w:space="0"/>
          <w:right w:val="none" w:color="000000" w:sz="4" w:space="0"/>
        </w:tcBorders>
        <w:shd w:val="clear" w:color="ffffff" w:themeColor="light1" w:fill="ffffff" w:themeFill="light1"/>
      </w:tcPr>
    </w:tblStylePr>
    <w:tblStylePr w:type="wholeTable">
      <w:rPr>
        <w:rFonts w:ascii="Arial" w:hAnsi="Arial"/>
        <w:color w:val="335e9e" w:themeColor="accent5" w:themeTint="9A" w:themeShade="95"/>
        <w:sz w:val="22"/>
      </w:rPr>
    </w:tblStylePr>
  </w:style>
  <w:style w:type="table" w:styleId="869">
    <w:name w:val="List Table 7 Colorful - Accent 6"/>
    <w:basedOn w:val="913"/>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5f8f3c"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5f8f3c" w:themeColor="accent6" w:themeTint="98" w:themeShade="95"/>
        <w:sz w:val="22"/>
      </w:rPr>
    </w:tblStylePr>
    <w:tblStylePr w:type="firstCol">
      <w:rPr>
        <w:rFonts w:ascii="Arial" w:hAnsi="Arial"/>
        <w:i/>
        <w:color w:val="5f8f3c" w:themeColor="accent6" w:themeTint="98" w:themeShade="95"/>
        <w:sz w:val="22"/>
      </w:rPr>
      <w:pPr>
        <w:jc w:val="right"/>
      </w:pPr>
      <w:tcPr>
        <w:tcBorders>
          <w:top w:val="none" w:color="000000" w:sz="4" w:space="0"/>
          <w:left w:val="none" w:color="000000" w:sz="4" w:space="0"/>
          <w:bottom w:val="none" w:color="000000" w:sz="4" w:space="0"/>
          <w:right w:val="single" w:color="000000" w:themeColor="accent6" w:themeTint="98" w:sz="4" w:space="0"/>
        </w:tcBorders>
        <w:shd w:val="clear" w:color="ffffff"/>
      </w:tcPr>
    </w:tblStylePr>
    <w:tblStylePr w:type="firstRow">
      <w:rPr>
        <w:rFonts w:ascii="Arial" w:hAnsi="Arial"/>
        <w:i/>
        <w:color w:val="5f8f3c" w:themeColor="accent6" w:themeTint="98" w:themeShade="95"/>
        <w:sz w:val="22"/>
      </w:rPr>
      <w:tcPr>
        <w:tcBorders>
          <w:top w:val="none" w:color="000000" w:sz="4" w:space="0"/>
          <w:left w:val="none" w:color="000000" w:sz="4" w:space="0"/>
          <w:bottom w:val="single" w:color="000000" w:themeColor="accent6" w:themeTint="98" w:sz="4" w:space="0"/>
          <w:right w:val="none" w:color="000000" w:sz="4" w:space="0"/>
        </w:tcBorders>
        <w:shd w:val="clear" w:color="ffffff" w:themeColor="light1" w:fill="ffffff" w:themeFill="light1"/>
      </w:tcPr>
    </w:tblStylePr>
    <w:tblStylePr w:type="lastCol">
      <w:rPr>
        <w:rFonts w:ascii="Arial" w:hAnsi="Arial"/>
        <w:i/>
        <w:color w:val="5f8f3c" w:themeColor="accent6" w:themeTint="98" w:themeShade="95"/>
        <w:sz w:val="22"/>
      </w:rPr>
      <w:tcPr>
        <w:tcBorders>
          <w:top w:val="none" w:color="000000" w:sz="4" w:space="0"/>
          <w:left w:val="single" w:color="000000" w:themeColor="accent6" w:themeTint="98" w:sz="4" w:space="0"/>
          <w:bottom w:val="none" w:color="000000" w:sz="4" w:space="0"/>
          <w:right w:val="none" w:color="000000" w:sz="4" w:space="0"/>
        </w:tcBorders>
        <w:shd w:val="clear" w:color="ffffff"/>
      </w:tcPr>
    </w:tblStylePr>
    <w:tblStylePr w:type="lastRow">
      <w:rPr>
        <w:rFonts w:ascii="Arial" w:hAnsi="Arial"/>
        <w:i/>
        <w:color w:val="5f8f3c" w:themeColor="accent6" w:themeTint="98" w:themeShade="95"/>
        <w:sz w:val="22"/>
      </w:rPr>
      <w:tcPr>
        <w:tcBorders>
          <w:top w:val="single" w:color="000000" w:themeColor="accent6" w:themeTint="98" w:sz="4" w:space="0"/>
          <w:left w:val="none" w:color="000000" w:sz="4" w:space="0"/>
          <w:bottom w:val="none" w:color="000000" w:sz="4" w:space="0"/>
          <w:right w:val="none" w:color="000000" w:sz="4" w:space="0"/>
        </w:tcBorders>
        <w:shd w:val="clear" w:color="ffffff" w:themeColor="light1" w:fill="ffffff" w:themeFill="light1"/>
      </w:tcPr>
    </w:tblStylePr>
    <w:tblStylePr w:type="wholeTable">
      <w:rPr>
        <w:rFonts w:ascii="Arial" w:hAnsi="Arial"/>
        <w:color w:val="5f8f3c" w:themeColor="accent6" w:themeTint="98" w:themeShade="95"/>
        <w:sz w:val="22"/>
      </w:rPr>
    </w:tblStylePr>
  </w:style>
  <w:style w:type="table" w:styleId="870">
    <w:name w:val="Lined - Accent"/>
    <w:basedOn w:val="91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71">
    <w:name w:val="Lined - Accent 1"/>
    <w:basedOn w:val="91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ce0f1" w:themeFill="accent1" w:themeFillTint="50"/>
      </w:tcPr>
    </w:tblStylePr>
    <w:tblStylePr w:type="band2Vert">
      <w:rPr>
        <w:rFonts w:ascii="Arial" w:hAnsi="Arial"/>
        <w:color w:val="404040"/>
        <w:sz w:val="22"/>
      </w:rPr>
      <w:tcPr>
        <w:shd w:val="clear" w:color="ffffff" w:themeColor="accent1" w:themeTint="50" w:fill="cce0f1" w:themeFill="accent1" w:themeFillTint="50"/>
      </w:tcPr>
    </w:tblStylePr>
    <w:tblStylePr w:type="firstCol">
      <w:rPr>
        <w:rFonts w:ascii="Arial" w:hAnsi="Arial"/>
        <w:color w:val="f2f2f2"/>
        <w:sz w:val="22"/>
      </w:rPr>
      <w:tcPr>
        <w:shd w:val="clear" w:color="ffffff" w:themeColor="accent1" w:themeTint="EA" w:fill="67a4d8" w:themeFill="accent1" w:themeFillTint="EA"/>
      </w:tcPr>
    </w:tblStylePr>
    <w:tblStylePr w:type="firstRow">
      <w:rPr>
        <w:rFonts w:ascii="Arial" w:hAnsi="Arial"/>
        <w:color w:val="f2f2f2"/>
        <w:sz w:val="22"/>
      </w:rPr>
      <w:tcPr>
        <w:shd w:val="clear" w:color="ffffff" w:themeColor="accent1" w:themeTint="EA" w:fill="67a4d8" w:themeFill="accent1" w:themeFillTint="EA"/>
      </w:tcPr>
    </w:tblStylePr>
    <w:tblStylePr w:type="lastCol">
      <w:rPr>
        <w:rFonts w:ascii="Arial" w:hAnsi="Arial"/>
        <w:color w:val="f2f2f2"/>
        <w:sz w:val="22"/>
      </w:rPr>
      <w:tcPr>
        <w:shd w:val="clear" w:color="ffffff" w:themeColor="accent1" w:themeTint="EA" w:fill="67a4d8" w:themeFill="accent1" w:themeFillTint="EA"/>
      </w:tcPr>
    </w:tblStylePr>
    <w:tblStylePr w:type="lastRow">
      <w:rPr>
        <w:rFonts w:ascii="Arial" w:hAnsi="Arial"/>
        <w:color w:val="f2f2f2"/>
        <w:sz w:val="22"/>
      </w:rPr>
      <w:tcPr>
        <w:shd w:val="clear" w:color="ffffff" w:themeColor="accent1" w:themeTint="EA" w:fill="67a4d8" w:themeFill="accent1" w:themeFillTint="EA"/>
      </w:tcPr>
    </w:tblStylePr>
  </w:style>
  <w:style w:type="table" w:styleId="872">
    <w:name w:val="Lined - Accent 2"/>
    <w:basedOn w:val="91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873">
    <w:name w:val="Lined - Accent 3"/>
    <w:basedOn w:val="91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874">
    <w:name w:val="Lined - Accent 4"/>
    <w:basedOn w:val="91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875">
    <w:name w:val="Lined - Accent 5"/>
    <w:basedOn w:val="91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9e2f2" w:themeFill="accent5" w:themeFillTint="34"/>
      </w:tcPr>
    </w:tblStylePr>
    <w:tblStylePr w:type="band2Vert">
      <w:rPr>
        <w:rFonts w:ascii="Arial" w:hAnsi="Arial"/>
        <w:color w:val="404040"/>
        <w:sz w:val="22"/>
      </w:rPr>
      <w:tcPr>
        <w:shd w:val="clear" w:color="ffffff" w:themeColor="accent5" w:themeTint="34" w:fill="d9e2f2" w:themeFill="accent5" w:themeFillTint="34"/>
      </w:tcPr>
    </w:tblStylePr>
    <w:tblStylePr w:type="firstCol">
      <w:rPr>
        <w:rFonts w:ascii="Arial" w:hAnsi="Arial"/>
        <w:color w:val="f2f2f2"/>
        <w:sz w:val="22"/>
      </w:rPr>
      <w:tcPr>
        <w:shd w:val="clear" w:color="ffffff" w:themeColor="accent5" w:fill="4472c4" w:themeFill="accent5"/>
      </w:tcPr>
    </w:tblStylePr>
    <w:tblStylePr w:type="firstRow">
      <w:rPr>
        <w:rFonts w:ascii="Arial" w:hAnsi="Arial"/>
        <w:color w:val="f2f2f2"/>
        <w:sz w:val="22"/>
      </w:rPr>
      <w:tcPr>
        <w:shd w:val="clear" w:color="ffffff" w:themeColor="accent5" w:fill="4472c4" w:themeFill="accent5"/>
      </w:tcPr>
    </w:tblStylePr>
    <w:tblStylePr w:type="lastCol">
      <w:rPr>
        <w:rFonts w:ascii="Arial" w:hAnsi="Arial"/>
        <w:color w:val="f2f2f2"/>
        <w:sz w:val="22"/>
      </w:rPr>
      <w:tcPr>
        <w:shd w:val="clear" w:color="ffffff" w:themeColor="accent5" w:fill="4472c4" w:themeFill="accent5"/>
      </w:tcPr>
    </w:tblStylePr>
    <w:tblStylePr w:type="lastRow">
      <w:rPr>
        <w:rFonts w:ascii="Arial" w:hAnsi="Arial"/>
        <w:color w:val="f2f2f2"/>
        <w:sz w:val="22"/>
      </w:rPr>
      <w:tcPr>
        <w:shd w:val="clear" w:color="ffffff" w:themeColor="accent5" w:fill="4472c4" w:themeFill="accent5"/>
      </w:tcPr>
    </w:tblStylePr>
  </w:style>
  <w:style w:type="table" w:styleId="876">
    <w:name w:val="Lined - Accent 6"/>
    <w:basedOn w:val="91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877">
    <w:name w:val="Bordered &amp; Lined - Accent"/>
    <w:basedOn w:val="913"/>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78">
    <w:name w:val="Bordered &amp; Lined - Accent 1"/>
    <w:basedOn w:val="913"/>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ce0f1" w:themeFill="accent1" w:themeFillTint="50"/>
      </w:tcPr>
    </w:tblStylePr>
    <w:tblStylePr w:type="band2Vert">
      <w:rPr>
        <w:rFonts w:ascii="Arial" w:hAnsi="Arial"/>
        <w:color w:val="404040"/>
        <w:sz w:val="22"/>
      </w:rPr>
      <w:tcPr>
        <w:shd w:val="clear" w:color="ffffff" w:themeColor="accent1" w:themeTint="50" w:fill="cce0f1" w:themeFill="accent1" w:themeFillTint="50"/>
      </w:tcPr>
    </w:tblStylePr>
    <w:tblStylePr w:type="firstCol">
      <w:rPr>
        <w:rFonts w:ascii="Arial" w:hAnsi="Arial"/>
        <w:color w:val="f2f2f2"/>
        <w:sz w:val="22"/>
      </w:rPr>
      <w:tcPr>
        <w:shd w:val="clear" w:color="ffffff" w:themeColor="accent1" w:themeTint="EA" w:fill="67a4d8" w:themeFill="accent1" w:themeFillTint="EA"/>
      </w:tcPr>
    </w:tblStylePr>
    <w:tblStylePr w:type="firstRow">
      <w:rPr>
        <w:rFonts w:ascii="Arial" w:hAnsi="Arial"/>
        <w:color w:val="f2f2f2"/>
        <w:sz w:val="22"/>
      </w:rPr>
      <w:tcPr>
        <w:shd w:val="clear" w:color="ffffff" w:themeColor="accent1" w:themeTint="EA" w:fill="67a4d8" w:themeFill="accent1" w:themeFillTint="EA"/>
      </w:tcPr>
    </w:tblStylePr>
    <w:tblStylePr w:type="lastCol">
      <w:rPr>
        <w:rFonts w:ascii="Arial" w:hAnsi="Arial"/>
        <w:color w:val="f2f2f2"/>
        <w:sz w:val="22"/>
      </w:rPr>
      <w:tcPr>
        <w:shd w:val="clear" w:color="ffffff" w:themeColor="accent1" w:themeTint="EA" w:fill="67a4d8" w:themeFill="accent1" w:themeFillTint="EA"/>
      </w:tcPr>
    </w:tblStylePr>
    <w:tblStylePr w:type="lastRow">
      <w:rPr>
        <w:rFonts w:ascii="Arial" w:hAnsi="Arial"/>
        <w:color w:val="f2f2f2"/>
        <w:sz w:val="22"/>
      </w:rPr>
      <w:tcPr>
        <w:shd w:val="clear" w:color="ffffff" w:themeColor="accent1" w:themeTint="EA" w:fill="67a4d8" w:themeFill="accent1" w:themeFillTint="EA"/>
      </w:tcPr>
    </w:tblStylePr>
  </w:style>
  <w:style w:type="table" w:styleId="879">
    <w:name w:val="Bordered &amp; Lined - Accent 2"/>
    <w:basedOn w:val="913"/>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880">
    <w:name w:val="Bordered &amp; Lined - Accent 3"/>
    <w:basedOn w:val="913"/>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881">
    <w:name w:val="Bordered &amp; Lined - Accent 4"/>
    <w:basedOn w:val="913"/>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882">
    <w:name w:val="Bordered &amp; Lined - Accent 5"/>
    <w:basedOn w:val="913"/>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9e2f2" w:themeFill="accent5" w:themeFillTint="34"/>
      </w:tcPr>
    </w:tblStylePr>
    <w:tblStylePr w:type="band2Vert">
      <w:rPr>
        <w:rFonts w:ascii="Arial" w:hAnsi="Arial"/>
        <w:color w:val="404040"/>
        <w:sz w:val="22"/>
      </w:rPr>
      <w:tcPr>
        <w:shd w:val="clear" w:color="ffffff" w:themeColor="accent5" w:themeTint="34" w:fill="d9e2f2" w:themeFill="accent5" w:themeFillTint="34"/>
      </w:tcPr>
    </w:tblStylePr>
    <w:tblStylePr w:type="firstCol">
      <w:rPr>
        <w:rFonts w:ascii="Arial" w:hAnsi="Arial"/>
        <w:color w:val="f2f2f2"/>
        <w:sz w:val="22"/>
      </w:rPr>
      <w:tcPr>
        <w:shd w:val="clear" w:color="ffffff" w:themeColor="accent5" w:fill="4472c4" w:themeFill="accent5"/>
      </w:tcPr>
    </w:tblStylePr>
    <w:tblStylePr w:type="firstRow">
      <w:rPr>
        <w:rFonts w:ascii="Arial" w:hAnsi="Arial"/>
        <w:color w:val="f2f2f2"/>
        <w:sz w:val="22"/>
      </w:rPr>
      <w:tcPr>
        <w:shd w:val="clear" w:color="ffffff" w:themeColor="accent5" w:fill="4472c4" w:themeFill="accent5"/>
      </w:tcPr>
    </w:tblStylePr>
    <w:tblStylePr w:type="lastCol">
      <w:rPr>
        <w:rFonts w:ascii="Arial" w:hAnsi="Arial"/>
        <w:color w:val="f2f2f2"/>
        <w:sz w:val="22"/>
      </w:rPr>
      <w:tcPr>
        <w:shd w:val="clear" w:color="ffffff" w:themeColor="accent5" w:fill="4472c4" w:themeFill="accent5"/>
      </w:tcPr>
    </w:tblStylePr>
    <w:tblStylePr w:type="lastRow">
      <w:rPr>
        <w:rFonts w:ascii="Arial" w:hAnsi="Arial"/>
        <w:color w:val="f2f2f2"/>
        <w:sz w:val="22"/>
      </w:rPr>
      <w:tcPr>
        <w:shd w:val="clear" w:color="ffffff" w:themeColor="accent5" w:fill="4472c4" w:themeFill="accent5"/>
      </w:tcPr>
    </w:tblStylePr>
  </w:style>
  <w:style w:type="table" w:styleId="883">
    <w:name w:val="Bordered &amp; Lined - Accent 6"/>
    <w:basedOn w:val="913"/>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884">
    <w:name w:val="Bordered"/>
    <w:basedOn w:val="913"/>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885">
    <w:name w:val="Bordered - Accent 1"/>
    <w:basedOn w:val="913"/>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886">
    <w:name w:val="Bordered - Accent 2"/>
    <w:basedOn w:val="913"/>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887">
    <w:name w:val="Bordered - Accent 3"/>
    <w:basedOn w:val="91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888">
    <w:name w:val="Bordered - Accent 4"/>
    <w:basedOn w:val="913"/>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889">
    <w:name w:val="Bordered - Accent 5"/>
    <w:basedOn w:val="913"/>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890">
    <w:name w:val="Bordered - Accent 6"/>
    <w:basedOn w:val="913"/>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891">
    <w:name w:val="Hyperlink"/>
    <w:uiPriority w:val="99"/>
    <w:unhideWhenUsed/>
    <w:rPr>
      <w:color w:val="0000ff" w:themeColor="hyperlink"/>
      <w:u w:val="single"/>
    </w:rPr>
  </w:style>
  <w:style w:type="paragraph" w:styleId="892">
    <w:name w:val="footnote text"/>
    <w:basedOn w:val="909"/>
    <w:link w:val="893"/>
    <w:uiPriority w:val="99"/>
    <w:semiHidden/>
    <w:unhideWhenUsed/>
    <w:pPr>
      <w:spacing w:after="40" w:line="240" w:lineRule="auto"/>
    </w:pPr>
    <w:rPr>
      <w:sz w:val="18"/>
    </w:rPr>
  </w:style>
  <w:style w:type="character" w:styleId="893">
    <w:name w:val="Footnote Text Char"/>
    <w:link w:val="892"/>
    <w:uiPriority w:val="99"/>
    <w:rPr>
      <w:sz w:val="18"/>
    </w:rPr>
  </w:style>
  <w:style w:type="character" w:styleId="894">
    <w:name w:val="footnote reference"/>
    <w:basedOn w:val="912"/>
    <w:uiPriority w:val="99"/>
    <w:unhideWhenUsed/>
    <w:rPr>
      <w:vertAlign w:val="superscript"/>
    </w:rPr>
  </w:style>
  <w:style w:type="paragraph" w:styleId="895">
    <w:name w:val="endnote text"/>
    <w:basedOn w:val="909"/>
    <w:link w:val="896"/>
    <w:uiPriority w:val="99"/>
    <w:semiHidden/>
    <w:unhideWhenUsed/>
    <w:pPr>
      <w:spacing w:after="0" w:line="240" w:lineRule="auto"/>
    </w:pPr>
    <w:rPr>
      <w:sz w:val="20"/>
    </w:rPr>
  </w:style>
  <w:style w:type="character" w:styleId="896">
    <w:name w:val="Endnote Text Char"/>
    <w:link w:val="895"/>
    <w:uiPriority w:val="99"/>
    <w:rPr>
      <w:sz w:val="20"/>
    </w:rPr>
  </w:style>
  <w:style w:type="character" w:styleId="897">
    <w:name w:val="endnote reference"/>
    <w:basedOn w:val="912"/>
    <w:uiPriority w:val="99"/>
    <w:semiHidden/>
    <w:unhideWhenUsed/>
    <w:rPr>
      <w:vertAlign w:val="superscript"/>
    </w:rPr>
  </w:style>
  <w:style w:type="paragraph" w:styleId="898">
    <w:name w:val="toc 1"/>
    <w:basedOn w:val="909"/>
    <w:next w:val="909"/>
    <w:uiPriority w:val="39"/>
    <w:unhideWhenUsed/>
    <w:pPr>
      <w:spacing w:after="57"/>
      <w:ind w:left="0" w:right="0" w:firstLine="0"/>
    </w:pPr>
  </w:style>
  <w:style w:type="paragraph" w:styleId="899">
    <w:name w:val="toc 2"/>
    <w:basedOn w:val="909"/>
    <w:next w:val="909"/>
    <w:uiPriority w:val="39"/>
    <w:unhideWhenUsed/>
    <w:pPr>
      <w:spacing w:after="57"/>
      <w:ind w:left="283" w:right="0" w:firstLine="0"/>
    </w:pPr>
  </w:style>
  <w:style w:type="paragraph" w:styleId="900">
    <w:name w:val="toc 3"/>
    <w:basedOn w:val="909"/>
    <w:next w:val="909"/>
    <w:uiPriority w:val="39"/>
    <w:unhideWhenUsed/>
    <w:pPr>
      <w:spacing w:after="57"/>
      <w:ind w:left="567" w:right="0" w:firstLine="0"/>
    </w:pPr>
  </w:style>
  <w:style w:type="paragraph" w:styleId="901">
    <w:name w:val="toc 4"/>
    <w:basedOn w:val="909"/>
    <w:next w:val="909"/>
    <w:uiPriority w:val="39"/>
    <w:unhideWhenUsed/>
    <w:pPr>
      <w:spacing w:after="57"/>
      <w:ind w:left="850" w:right="0" w:firstLine="0"/>
    </w:pPr>
  </w:style>
  <w:style w:type="paragraph" w:styleId="902">
    <w:name w:val="toc 5"/>
    <w:basedOn w:val="909"/>
    <w:next w:val="909"/>
    <w:uiPriority w:val="39"/>
    <w:unhideWhenUsed/>
    <w:pPr>
      <w:spacing w:after="57"/>
      <w:ind w:left="1134" w:right="0" w:firstLine="0"/>
    </w:pPr>
  </w:style>
  <w:style w:type="paragraph" w:styleId="903">
    <w:name w:val="toc 6"/>
    <w:basedOn w:val="909"/>
    <w:next w:val="909"/>
    <w:uiPriority w:val="39"/>
    <w:unhideWhenUsed/>
    <w:pPr>
      <w:spacing w:after="57"/>
      <w:ind w:left="1417" w:right="0" w:firstLine="0"/>
    </w:pPr>
  </w:style>
  <w:style w:type="paragraph" w:styleId="904">
    <w:name w:val="toc 7"/>
    <w:basedOn w:val="909"/>
    <w:next w:val="909"/>
    <w:uiPriority w:val="39"/>
    <w:unhideWhenUsed/>
    <w:pPr>
      <w:spacing w:after="57"/>
      <w:ind w:left="1701" w:right="0" w:firstLine="0"/>
    </w:pPr>
  </w:style>
  <w:style w:type="paragraph" w:styleId="905">
    <w:name w:val="toc 8"/>
    <w:basedOn w:val="909"/>
    <w:next w:val="909"/>
    <w:uiPriority w:val="39"/>
    <w:unhideWhenUsed/>
    <w:pPr>
      <w:spacing w:after="57"/>
      <w:ind w:left="1984" w:right="0" w:firstLine="0"/>
    </w:pPr>
  </w:style>
  <w:style w:type="paragraph" w:styleId="906">
    <w:name w:val="toc 9"/>
    <w:basedOn w:val="909"/>
    <w:next w:val="909"/>
    <w:uiPriority w:val="39"/>
    <w:unhideWhenUsed/>
    <w:pPr>
      <w:spacing w:after="57"/>
      <w:ind w:left="2268" w:right="0" w:firstLine="0"/>
    </w:pPr>
  </w:style>
  <w:style w:type="paragraph" w:styleId="907">
    <w:name w:val="TOC Heading"/>
    <w:uiPriority w:val="39"/>
    <w:unhideWhenUsed/>
  </w:style>
  <w:style w:type="paragraph" w:styleId="908">
    <w:name w:val="table of figures"/>
    <w:basedOn w:val="909"/>
    <w:next w:val="909"/>
    <w:uiPriority w:val="99"/>
    <w:unhideWhenUsed/>
    <w:pPr>
      <w:spacing w:after="0" w:afterAutospacing="0"/>
    </w:pPr>
  </w:style>
  <w:style w:type="paragraph" w:styleId="909" w:default="1">
    <w:name w:val="Normal"/>
    <w:qFormat/>
    <w:pPr>
      <w:spacing w:after="0" w:line="240" w:lineRule="auto"/>
    </w:pPr>
    <w:rPr>
      <w:rFonts w:ascii="Times New Roman" w:hAnsi="Times New Roman" w:eastAsia="Times New Roman" w:cs="Times New Roman"/>
      <w:sz w:val="24"/>
      <w:szCs w:val="24"/>
      <w:lang w:eastAsia="ru-RU"/>
    </w:rPr>
  </w:style>
  <w:style w:type="paragraph" w:styleId="910">
    <w:name w:val="Heading 3"/>
    <w:basedOn w:val="909"/>
    <w:next w:val="909"/>
    <w:link w:val="929"/>
    <w:uiPriority w:val="9"/>
    <w:semiHidden/>
    <w:unhideWhenUsed/>
    <w:qFormat/>
    <w:pPr>
      <w:keepNext/>
      <w:spacing w:before="240" w:after="60" w:line="259" w:lineRule="auto"/>
      <w:outlineLvl w:val="2"/>
    </w:pPr>
    <w:rPr>
      <w:rFonts w:ascii="Calibri Light" w:hAnsi="Calibri Light"/>
      <w:b/>
      <w:bCs/>
      <w:sz w:val="26"/>
      <w:szCs w:val="26"/>
      <w:lang w:eastAsia="en-US"/>
    </w:rPr>
  </w:style>
  <w:style w:type="paragraph" w:styleId="911">
    <w:name w:val="Heading 4"/>
    <w:basedOn w:val="909"/>
    <w:next w:val="909"/>
    <w:link w:val="930"/>
    <w:uiPriority w:val="9"/>
    <w:semiHidden/>
    <w:unhideWhenUsed/>
    <w:qFormat/>
    <w:pPr>
      <w:keepNext/>
      <w:spacing w:before="240" w:after="60" w:line="259" w:lineRule="auto"/>
      <w:outlineLvl w:val="3"/>
    </w:pPr>
    <w:rPr>
      <w:rFonts w:ascii="Calibri" w:hAnsi="Calibri"/>
      <w:b/>
      <w:bCs/>
      <w:sz w:val="28"/>
      <w:szCs w:val="28"/>
      <w:lang w:eastAsia="en-US"/>
    </w:rPr>
  </w:style>
  <w:style w:type="character" w:styleId="912" w:default="1">
    <w:name w:val="Default Paragraph Font"/>
    <w:uiPriority w:val="1"/>
    <w:semiHidden/>
    <w:unhideWhenUsed/>
  </w:style>
  <w:style w:type="table" w:styleId="913" w:default="1">
    <w:name w:val="Normal Table"/>
    <w:uiPriority w:val="99"/>
    <w:semiHidden/>
    <w:unhideWhenUsed/>
    <w:tblPr>
      <w:tblInd w:w="0" w:type="dxa"/>
      <w:tblCellMar>
        <w:left w:w="108" w:type="dxa"/>
        <w:top w:w="0" w:type="dxa"/>
        <w:right w:w="108" w:type="dxa"/>
        <w:bottom w:w="0" w:type="dxa"/>
      </w:tblCellMar>
    </w:tblPr>
  </w:style>
  <w:style w:type="numbering" w:styleId="914" w:default="1">
    <w:name w:val="No List"/>
    <w:uiPriority w:val="99"/>
    <w:semiHidden/>
    <w:unhideWhenUsed/>
  </w:style>
  <w:style w:type="character" w:styleId="915">
    <w:name w:val="annotation reference"/>
    <w:semiHidden/>
    <w:rPr>
      <w:sz w:val="16"/>
      <w:szCs w:val="16"/>
    </w:rPr>
  </w:style>
  <w:style w:type="paragraph" w:styleId="916">
    <w:name w:val="annotation text"/>
    <w:basedOn w:val="909"/>
    <w:link w:val="917"/>
    <w:semiHidden/>
    <w:rPr>
      <w:sz w:val="20"/>
      <w:szCs w:val="20"/>
    </w:rPr>
  </w:style>
  <w:style w:type="character" w:styleId="917" w:customStyle="1">
    <w:name w:val="Текст примечания Знак"/>
    <w:basedOn w:val="912"/>
    <w:link w:val="916"/>
    <w:semiHidden/>
    <w:rPr>
      <w:rFonts w:ascii="Times New Roman" w:hAnsi="Times New Roman" w:eastAsia="Times New Roman" w:cs="Times New Roman"/>
      <w:sz w:val="20"/>
      <w:szCs w:val="20"/>
      <w:lang w:eastAsia="ru-RU"/>
    </w:rPr>
  </w:style>
  <w:style w:type="paragraph" w:styleId="918">
    <w:name w:val="Balloon Text"/>
    <w:basedOn w:val="909"/>
    <w:link w:val="919"/>
    <w:uiPriority w:val="99"/>
    <w:semiHidden/>
    <w:unhideWhenUsed/>
    <w:rPr>
      <w:rFonts w:ascii="Segoe UI" w:hAnsi="Segoe UI" w:cs="Segoe UI"/>
      <w:sz w:val="18"/>
      <w:szCs w:val="18"/>
    </w:rPr>
  </w:style>
  <w:style w:type="character" w:styleId="919" w:customStyle="1">
    <w:name w:val="Текст выноски Знак"/>
    <w:basedOn w:val="912"/>
    <w:link w:val="918"/>
    <w:uiPriority w:val="99"/>
    <w:semiHidden/>
    <w:rPr>
      <w:rFonts w:ascii="Segoe UI" w:hAnsi="Segoe UI" w:cs="Segoe UI"/>
      <w:sz w:val="18"/>
      <w:szCs w:val="18"/>
    </w:rPr>
  </w:style>
  <w:style w:type="paragraph" w:styleId="920" w:customStyle="1">
    <w:name w:val="ConsPlusNormal"/>
    <w:pPr>
      <w:widowControl w:val="off"/>
      <w:spacing w:after="0" w:line="240" w:lineRule="auto"/>
      <w:ind w:firstLine="720"/>
    </w:pPr>
    <w:rPr>
      <w:rFonts w:ascii="Arial" w:hAnsi="Arial" w:eastAsia="Times New Roman" w:cs="Arial"/>
      <w:sz w:val="20"/>
      <w:szCs w:val="20"/>
      <w:lang w:eastAsia="ru-RU"/>
    </w:rPr>
  </w:style>
  <w:style w:type="paragraph" w:styleId="921">
    <w:name w:val="Header"/>
    <w:basedOn w:val="909"/>
    <w:link w:val="922"/>
    <w:pPr>
      <w:tabs>
        <w:tab w:val="center" w:pos="4677" w:leader="none"/>
        <w:tab w:val="right" w:pos="9355" w:leader="none"/>
      </w:tabs>
    </w:pPr>
  </w:style>
  <w:style w:type="character" w:styleId="922" w:customStyle="1">
    <w:name w:val="Верхний колонтитул Знак"/>
    <w:basedOn w:val="912"/>
    <w:link w:val="921"/>
    <w:rPr>
      <w:rFonts w:ascii="Times New Roman" w:hAnsi="Times New Roman" w:eastAsia="Times New Roman" w:cs="Times New Roman"/>
      <w:sz w:val="24"/>
      <w:szCs w:val="24"/>
      <w:lang w:eastAsia="ru-RU"/>
    </w:rPr>
  </w:style>
  <w:style w:type="paragraph" w:styleId="923">
    <w:name w:val="Body Text"/>
    <w:basedOn w:val="909"/>
    <w:link w:val="924"/>
    <w:pPr>
      <w:spacing w:after="120"/>
    </w:pPr>
  </w:style>
  <w:style w:type="character" w:styleId="924" w:customStyle="1">
    <w:name w:val="Основной текст Знак"/>
    <w:basedOn w:val="912"/>
    <w:link w:val="923"/>
    <w:rPr>
      <w:rFonts w:ascii="Times New Roman" w:hAnsi="Times New Roman" w:eastAsia="Times New Roman" w:cs="Times New Roman"/>
      <w:sz w:val="24"/>
      <w:szCs w:val="24"/>
      <w:lang w:eastAsia="ru-RU"/>
    </w:rPr>
  </w:style>
  <w:style w:type="paragraph" w:styleId="925" w:customStyle="1">
    <w:name w:val="ConsNonformat"/>
    <w:pPr>
      <w:widowControl w:val="off"/>
      <w:spacing w:after="0" w:line="240" w:lineRule="auto"/>
    </w:pPr>
    <w:rPr>
      <w:rFonts w:ascii="Courier New" w:hAnsi="Courier New" w:eastAsia="Times New Roman" w:cs="Courier New"/>
      <w:sz w:val="20"/>
      <w:szCs w:val="20"/>
      <w:lang w:eastAsia="ru-RU"/>
    </w:rPr>
  </w:style>
  <w:style w:type="paragraph" w:styleId="926">
    <w:name w:val="Body Text Indent"/>
    <w:basedOn w:val="909"/>
    <w:link w:val="927"/>
    <w:uiPriority w:val="99"/>
    <w:semiHidden/>
    <w:unhideWhenUsed/>
    <w:pPr>
      <w:spacing w:after="120"/>
      <w:ind w:left="283"/>
    </w:pPr>
  </w:style>
  <w:style w:type="character" w:styleId="927" w:customStyle="1">
    <w:name w:val="Основной текст с отступом Знак"/>
    <w:basedOn w:val="912"/>
    <w:link w:val="926"/>
    <w:uiPriority w:val="99"/>
    <w:semiHidden/>
    <w:rPr>
      <w:rFonts w:ascii="Times New Roman" w:hAnsi="Times New Roman" w:eastAsia="Times New Roman" w:cs="Times New Roman"/>
      <w:sz w:val="24"/>
      <w:szCs w:val="24"/>
      <w:lang w:eastAsia="ru-RU"/>
    </w:rPr>
  </w:style>
  <w:style w:type="character" w:styleId="928">
    <w:name w:val="Placeholder Text"/>
    <w:basedOn w:val="912"/>
    <w:uiPriority w:val="99"/>
    <w:semiHidden/>
    <w:rPr>
      <w:color w:val="808080"/>
    </w:rPr>
  </w:style>
  <w:style w:type="character" w:styleId="929" w:customStyle="1">
    <w:name w:val="Заголовок 3 Знак"/>
    <w:basedOn w:val="912"/>
    <w:link w:val="910"/>
    <w:uiPriority w:val="9"/>
    <w:semiHidden/>
    <w:rPr>
      <w:rFonts w:ascii="Calibri Light" w:hAnsi="Calibri Light" w:eastAsia="Times New Roman" w:cs="Times New Roman"/>
      <w:b/>
      <w:bCs/>
      <w:sz w:val="26"/>
      <w:szCs w:val="26"/>
    </w:rPr>
  </w:style>
  <w:style w:type="character" w:styleId="930" w:customStyle="1">
    <w:name w:val="Заголовок 4 Знак"/>
    <w:basedOn w:val="912"/>
    <w:link w:val="911"/>
    <w:uiPriority w:val="9"/>
    <w:semiHidden/>
    <w:rPr>
      <w:rFonts w:ascii="Calibri" w:hAnsi="Calibri" w:eastAsia="Times New Roman" w:cs="Times New Roman"/>
      <w:b/>
      <w:bCs/>
      <w:sz w:val="28"/>
      <w:szCs w:val="28"/>
    </w:rPr>
  </w:style>
  <w:style w:type="paragraph" w:styleId="931">
    <w:name w:val="List Paragraph"/>
    <w:basedOn w:val="909"/>
    <w:uiPriority w:val="34"/>
    <w:qFormat/>
    <w:pPr>
      <w:ind w:left="720"/>
      <w:contextualSpacing/>
    </w:pPr>
  </w:style>
  <w:style w:type="paragraph" w:styleId="932">
    <w:name w:val="Revision"/>
    <w:hidden/>
    <w:uiPriority w:val="99"/>
    <w:semiHidden/>
    <w:pPr>
      <w:spacing w:after="0" w:line="240" w:lineRule="auto"/>
    </w:pPr>
    <w:rPr>
      <w:rFonts w:ascii="Times New Roman" w:hAnsi="Times New Roman" w:eastAsia="Times New Roman" w:cs="Times New Roman"/>
      <w:sz w:val="24"/>
      <w:szCs w:val="24"/>
      <w:lang w:eastAsia="ru-RU"/>
    </w:rPr>
  </w:style>
  <w:style w:type="character" w:styleId="933" w:customStyle="1">
    <w:name w:val="rfr_nbsp"/>
    <w:basedOn w:val="912"/>
  </w:style>
  <w:style w:type="paragraph" w:styleId="934">
    <w:name w:val="Footer"/>
    <w:basedOn w:val="909"/>
    <w:link w:val="935"/>
    <w:uiPriority w:val="99"/>
    <w:unhideWhenUsed/>
    <w:pPr>
      <w:tabs>
        <w:tab w:val="center" w:pos="4677" w:leader="none"/>
        <w:tab w:val="right" w:pos="9355" w:leader="none"/>
      </w:tabs>
    </w:pPr>
  </w:style>
  <w:style w:type="character" w:styleId="935" w:customStyle="1">
    <w:name w:val="Нижний колонтитул Знак"/>
    <w:basedOn w:val="912"/>
    <w:link w:val="934"/>
    <w:uiPriority w:val="99"/>
    <w:rPr>
      <w:rFonts w:ascii="Times New Roman" w:hAnsi="Times New Roman" w:eastAsia="Times New Roman" w:cs="Times New Roman"/>
      <w:sz w:val="24"/>
      <w:szCs w:val="24"/>
      <w:lang w:eastAsia="ru-RU"/>
    </w:rPr>
  </w:style>
  <w:style w:type="table" w:styleId="936">
    <w:name w:val="Table Grid"/>
    <w:basedOn w:val="913"/>
    <w:uiPriority w:val="39"/>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937">
    <w:name w:val="annotation subject"/>
    <w:basedOn w:val="916"/>
    <w:next w:val="916"/>
    <w:link w:val="938"/>
    <w:uiPriority w:val="99"/>
    <w:semiHidden/>
    <w:unhideWhenUsed/>
    <w:rPr>
      <w:b/>
      <w:bCs/>
    </w:rPr>
  </w:style>
  <w:style w:type="character" w:styleId="938" w:customStyle="1">
    <w:name w:val="Тема примечания Знак"/>
    <w:basedOn w:val="917"/>
    <w:link w:val="937"/>
    <w:uiPriority w:val="99"/>
    <w:semiHidden/>
    <w:rPr>
      <w:rFonts w:ascii="Times New Roman" w:hAnsi="Times New Roman" w:eastAsia="Times New Roman" w:cs="Times New Roman"/>
      <w:b/>
      <w:bCs/>
      <w:sz w:val="20"/>
      <w:szCs w:val="20"/>
      <w:lang w:eastAsia="ru-RU"/>
    </w:rPr>
  </w:style>
  <w:style w:type="paragraph" w:styleId="939" w:customStyle="1">
    <w:name w:val="Стиль4"/>
    <w:basedOn w:val="812"/>
    <w:qFormat/>
    <w:pPr>
      <w:keepNext w:val="0"/>
      <w:keepLines w:val="0"/>
      <w:pageBreakBefore w:val="0"/>
      <w:widowControl w:val="off"/>
      <w:numPr>
        <w:numId w:val="22"/>
        <w:ilvl w:val="0"/>
      </w:numPr>
      <w:suppressLineNumbers w:val="0"/>
      <w:pBdr>
        <w:top w:val="none" w:color="000000" w:sz="4" w:space="0"/>
        <w:left w:val="none" w:color="000000" w:sz="4" w:space="0"/>
        <w:bottom w:val="none" w:color="000000" w:sz="4" w:space="0"/>
        <w:right w:val="none" w:color="000000" w:sz="4" w:space="0"/>
        <w:between w:val="none" w:color="000000" w:sz="4" w:space="0"/>
      </w:pBdr>
      <w:shd w:val="nil"/>
      <w:tabs>
        <w:tab w:val="left" w:pos="360" w:leader="none"/>
      </w:tabs>
      <w:spacing w:before="0" w:beforeAutospacing="0" w:after="0" w:afterAutospacing="0" w:line="240" w:lineRule="auto"/>
      <w:ind w:left="0" w:right="0" w:firstLine="0"/>
      <w:contextualSpacing w:val="0"/>
      <w:jc w:val="center"/>
    </w:pPr>
    <w:rPr>
      <w:rFonts w:ascii="Arial" w:hAnsi="Arial" w:eastAsia="Times New Roman" w:cs="Arial"/>
      <w:b w:val="0"/>
      <w:bCs w:val="0"/>
      <w:i w:val="0"/>
      <w:iCs w:val="0"/>
      <w:caps w:val="0"/>
      <w:smallCaps w:val="0"/>
      <w:strike w:val="0"/>
      <w:vanish w:val="0"/>
      <w:color w:val="auto"/>
      <w:spacing w:val="0"/>
      <w:position w:val="0"/>
      <w:sz w:val="17"/>
      <w:szCs w:val="17"/>
      <w:highlight w:val="none"/>
      <w:u w:val="none"/>
      <w:vertAlign w:val="baseline"/>
      <w:rtl w:val="0"/>
      <w:cs w:val="0"/>
      <w:lang w:val="ru-RU" w:eastAsia="ru-RU" w:bidi="ar-SA"/>
      <w14:ligatures w14:val="none"/>
    </w:rPr>
  </w:style>
  <w:style w:type="paragraph" w:styleId="940" w:customStyle="1">
    <w:name w:val="Стиль10"/>
    <w:basedOn w:val="812"/>
    <w:qFormat/>
    <w:pPr>
      <w:keepNext w:val="0"/>
      <w:keepLines w:val="0"/>
      <w:pageBreakBefore w:val="0"/>
      <w:widowControl w:val="off"/>
      <w:numPr>
        <w:numId w:val="22"/>
        <w:ilvl w:val="1"/>
      </w:numPr>
      <w:suppressLineNumbers w:val="0"/>
      <w:pBdr>
        <w:top w:val="none" w:color="000000" w:sz="4" w:space="0"/>
        <w:left w:val="none" w:color="000000" w:sz="4" w:space="0"/>
        <w:bottom w:val="none" w:color="000000" w:sz="4" w:space="0"/>
        <w:right w:val="none" w:color="000000" w:sz="4" w:space="0"/>
        <w:between w:val="none" w:color="000000" w:sz="4" w:space="0"/>
      </w:pBdr>
      <w:shd w:val="nil"/>
      <w:tabs>
        <w:tab w:val="left" w:pos="426" w:leader="none"/>
      </w:tabs>
      <w:spacing w:before="0" w:beforeAutospacing="0" w:after="0" w:afterAutospacing="0" w:line="240" w:lineRule="auto"/>
      <w:ind w:left="0" w:right="0" w:firstLine="0"/>
      <w:contextualSpacing w:val="0"/>
      <w:jc w:val="both"/>
    </w:pPr>
    <w:rPr>
      <w:rFonts w:ascii="Arial" w:hAnsi="Arial" w:eastAsia="Times New Roman" w:cs="Arial"/>
      <w:b w:val="0"/>
      <w:bCs w:val="0"/>
      <w:i w:val="0"/>
      <w:iCs w:val="0"/>
      <w:caps w:val="0"/>
      <w:smallCaps w:val="0"/>
      <w:strike w:val="0"/>
      <w:vanish w:val="0"/>
      <w:color w:val="auto"/>
      <w:spacing w:val="0"/>
      <w:position w:val="0"/>
      <w:sz w:val="17"/>
      <w:szCs w:val="17"/>
      <w:highlight w:val="none"/>
      <w:u w:val="none"/>
      <w:vertAlign w:val="baseline"/>
      <w:rtl w:val="0"/>
      <w:cs w:val="0"/>
      <w:lang w:val="ru-RU" w:eastAsia="ru-RU" w:bidi="ar-SA"/>
      <w14:ligatures w14:val="none"/>
    </w:rPr>
  </w:style>
  <w:style w:type="paragraph" w:styleId="941" w:customStyle="1">
    <w:name w:val="3 уровень"/>
    <w:basedOn w:val="784"/>
    <w:qFormat/>
    <w:pPr>
      <w:keepNext w:val="0"/>
      <w:keepLines w:val="0"/>
      <w:pageBreakBefore w:val="0"/>
      <w:widowControl/>
      <w:numPr>
        <w:numId w:val="22"/>
        <w:ilvl w:val="2"/>
      </w:numPr>
      <w:suppressLineNumbers w:val="0"/>
      <w:pBdr>
        <w:top w:val="none" w:color="000000" w:sz="4" w:space="0"/>
        <w:left w:val="none" w:color="000000" w:sz="4" w:space="0"/>
        <w:bottom w:val="none" w:color="000000" w:sz="4" w:space="0"/>
        <w:right w:val="none" w:color="000000" w:sz="4" w:space="0"/>
        <w:between w:val="none" w:color="000000" w:sz="4" w:space="0"/>
      </w:pBdr>
      <w:shd w:val="nil"/>
      <w:tabs>
        <w:tab w:val="num" w:pos="0" w:leader="none"/>
      </w:tabs>
      <w:spacing w:before="0" w:beforeAutospacing="0" w:after="0" w:afterAutospacing="0" w:line="240" w:lineRule="auto"/>
      <w:ind w:left="0" w:right="0" w:firstLine="0"/>
      <w:contextualSpacing w:val="0"/>
      <w:jc w:val="both"/>
    </w:pPr>
    <w:rPr>
      <w:rFonts w:ascii="Arial" w:hAnsi="Arial" w:eastAsia="Times New Roman" w:cs="Arial"/>
      <w:b w:val="0"/>
      <w:bCs w:val="0"/>
      <w:i w:val="0"/>
      <w:iCs w:val="0"/>
      <w:caps w:val="0"/>
      <w:smallCaps w:val="0"/>
      <w:strike w:val="0"/>
      <w:vanish w:val="0"/>
      <w:color w:val="auto"/>
      <w:spacing w:val="0"/>
      <w:position w:val="0"/>
      <w:sz w:val="17"/>
      <w:szCs w:val="17"/>
      <w:highlight w:val="none"/>
      <w:u w:val="none"/>
      <w:vertAlign w:val="baseline"/>
      <w:rtl w:val="0"/>
      <w:cs w:val="0"/>
      <w:lang w:val="ru-RU" w:eastAsia="ru-RU" w:bidi="ar-SA"/>
      <w14:ligatures w14:val="none"/>
    </w:rPr>
  </w:style>
  <w:style w:type="paragraph" w:styleId="942" w:customStyle="1">
    <w:name w:val="Стиль5"/>
    <w:basedOn w:val="810"/>
    <w:qFormat/>
    <w:pPr>
      <w:keepNext w:val="0"/>
      <w:keepLines w:val="0"/>
      <w:pageBreakBefore w:val="0"/>
      <w:widowControl w:val="off"/>
      <w:suppressLineNumbers w:val="0"/>
      <w:pBdr>
        <w:top w:val="none" w:color="000000" w:sz="4" w:space="0"/>
        <w:left w:val="none" w:color="000000" w:sz="4" w:space="0"/>
        <w:bottom w:val="none" w:color="000000" w:sz="4" w:space="0"/>
        <w:right w:val="none" w:color="000000" w:sz="4" w:space="0"/>
        <w:between w:val="none" w:color="000000" w:sz="4" w:space="0"/>
      </w:pBdr>
      <w:shd w:val="nil"/>
      <w:tabs>
        <w:tab w:val="left" w:pos="360" w:leader="none"/>
      </w:tabs>
      <w:spacing w:before="0" w:beforeAutospacing="0" w:after="0" w:afterAutospacing="0" w:line="240" w:lineRule="auto"/>
      <w:ind w:left="0" w:right="0" w:firstLine="0"/>
      <w:contextualSpacing w:val="0"/>
      <w:jc w:val="both"/>
    </w:pPr>
    <w:rPr>
      <w:rFonts w:ascii="Arial" w:hAnsi="Arial" w:eastAsia="Times New Roman" w:cs="Arial"/>
      <w:b w:val="0"/>
      <w:bCs w:val="0"/>
      <w:i w:val="0"/>
      <w:iCs w:val="0"/>
      <w:caps w:val="0"/>
      <w:smallCaps w:val="0"/>
      <w:strike w:val="0"/>
      <w:vanish w:val="0"/>
      <w:color w:val="auto"/>
      <w:spacing w:val="0"/>
      <w:position w:val="0"/>
      <w:sz w:val="17"/>
      <w:szCs w:val="17"/>
      <w:highlight w:val="none"/>
      <w:u w:val="none"/>
      <w:vertAlign w:val="baseline"/>
      <w:rtl w:val="0"/>
      <w:cs w:val="0"/>
      <w:lang w:val="ru-RU" w:eastAsia="ru-RU" w:bidi="ar-SA"/>
      <w14:ligatures w14:val="none"/>
    </w:rPr>
  </w:style>
</w:styles>
</file>

<file path=word/webSettings.xml><?xml version="1.0" encoding="utf-8"?>
<w:webSetting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Р7-Офис/2025.3.1.923</Application>
  <Company/>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Корнеева Людмила Викторовна</dc:creator>
  <cp:keywords/>
  <dc:description/>
  <cp:lastModifiedBy>guzeirova_lr</cp:lastModifiedBy>
  <cp:revision>15</cp:revision>
  <dcterms:created xsi:type="dcterms:W3CDTF">2024-03-27T12:25:00Z</dcterms:created>
  <dcterms:modified xsi:type="dcterms:W3CDTF">2025-11-07T10:31:52Z</dcterms:modified>
</cp:coreProperties>
</file>